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F7379" w14:textId="77777777" w:rsidR="002459C4" w:rsidRDefault="002459C4" w:rsidP="002459C4"/>
    <w:p w14:paraId="32C2F059" w14:textId="77777777" w:rsidR="002459C4" w:rsidRDefault="002459C4" w:rsidP="002459C4"/>
    <w:p w14:paraId="2CE6EA4E" w14:textId="77777777" w:rsidR="002459C4" w:rsidRDefault="002459C4" w:rsidP="002459C4"/>
    <w:p w14:paraId="66D1CB50" w14:textId="77777777" w:rsidR="002459C4" w:rsidRDefault="002459C4" w:rsidP="002459C4"/>
    <w:p w14:paraId="3B394F69" w14:textId="77777777" w:rsidR="002459C4" w:rsidRDefault="002459C4" w:rsidP="002459C4"/>
    <w:p w14:paraId="7224874E" w14:textId="77777777" w:rsidR="002459C4" w:rsidRDefault="002459C4" w:rsidP="002459C4"/>
    <w:p w14:paraId="68EF18C7" w14:textId="77777777" w:rsidR="002459C4" w:rsidRDefault="002459C4" w:rsidP="002459C4"/>
    <w:p w14:paraId="4DAF505C" w14:textId="77777777" w:rsidR="002459C4" w:rsidRDefault="002459C4" w:rsidP="002459C4">
      <w:pPr>
        <w:jc w:val="center"/>
      </w:pPr>
    </w:p>
    <w:p w14:paraId="078BC1E8" w14:textId="77777777" w:rsidR="002459C4" w:rsidRDefault="002459C4" w:rsidP="002459C4">
      <w:pPr>
        <w:jc w:val="center"/>
      </w:pPr>
    </w:p>
    <w:p w14:paraId="231847D2" w14:textId="77777777" w:rsidR="002459C4" w:rsidRDefault="002459C4" w:rsidP="002459C4">
      <w:pPr>
        <w:jc w:val="center"/>
      </w:pPr>
    </w:p>
    <w:p w14:paraId="7CD60614" w14:textId="77777777" w:rsidR="002459C4" w:rsidRDefault="002459C4" w:rsidP="002459C4">
      <w:pPr>
        <w:jc w:val="center"/>
      </w:pPr>
    </w:p>
    <w:p w14:paraId="4E753B08" w14:textId="77777777" w:rsidR="002459C4" w:rsidRDefault="002459C4" w:rsidP="002459C4">
      <w:pPr>
        <w:jc w:val="center"/>
      </w:pPr>
    </w:p>
    <w:p w14:paraId="32B42865" w14:textId="77777777" w:rsidR="002459C4" w:rsidRDefault="002459C4" w:rsidP="002459C4">
      <w:pPr>
        <w:jc w:val="center"/>
      </w:pPr>
    </w:p>
    <w:p w14:paraId="40D54A71" w14:textId="77777777" w:rsidR="002459C4" w:rsidRDefault="002459C4" w:rsidP="002459C4">
      <w:pPr>
        <w:jc w:val="center"/>
      </w:pPr>
    </w:p>
    <w:p w14:paraId="15591C96" w14:textId="77777777" w:rsidR="00600F11" w:rsidRDefault="00600F11" w:rsidP="002459C4">
      <w:pPr>
        <w:jc w:val="center"/>
      </w:pPr>
    </w:p>
    <w:p w14:paraId="23720C6D" w14:textId="77777777" w:rsidR="00600F11" w:rsidRDefault="00600F11" w:rsidP="002459C4">
      <w:pPr>
        <w:jc w:val="center"/>
      </w:pPr>
    </w:p>
    <w:p w14:paraId="43F6C66C" w14:textId="77777777" w:rsidR="00600F11" w:rsidRDefault="00600F11" w:rsidP="002459C4">
      <w:pPr>
        <w:jc w:val="center"/>
      </w:pPr>
    </w:p>
    <w:p w14:paraId="09F2D050" w14:textId="77777777" w:rsidR="00600F11" w:rsidRDefault="00600F11" w:rsidP="002459C4">
      <w:pPr>
        <w:jc w:val="center"/>
      </w:pPr>
    </w:p>
    <w:p w14:paraId="5FE4C603" w14:textId="77777777" w:rsidR="00600F11" w:rsidRDefault="00600F11" w:rsidP="002459C4">
      <w:pPr>
        <w:jc w:val="center"/>
      </w:pPr>
    </w:p>
    <w:p w14:paraId="3BE8660C" w14:textId="68BFC848" w:rsidR="002459C4" w:rsidRDefault="002459C4" w:rsidP="002459C4">
      <w:pPr>
        <w:jc w:val="center"/>
      </w:pPr>
      <w:r>
        <w:t xml:space="preserve">Open Science Online Grocery: A Tool for Studying Choice </w:t>
      </w:r>
      <w:r w:rsidR="00E47093">
        <w:t xml:space="preserve">Context </w:t>
      </w:r>
      <w:r>
        <w:t>and Food Choice</w:t>
      </w:r>
      <w:r>
        <w:br w:type="page"/>
      </w:r>
    </w:p>
    <w:p w14:paraId="6DDFC386" w14:textId="0BA7FEB2" w:rsidR="00E13149" w:rsidRDefault="00E13149" w:rsidP="00661698">
      <w:pPr>
        <w:spacing w:line="480" w:lineRule="auto"/>
        <w:jc w:val="center"/>
      </w:pPr>
      <w:r w:rsidRPr="00E13149">
        <w:lastRenderedPageBreak/>
        <w:t>ABSTRACT</w:t>
      </w:r>
    </w:p>
    <w:p w14:paraId="5174C777" w14:textId="07B65A38" w:rsidR="0035615A" w:rsidRDefault="00BD1606" w:rsidP="004C0E41">
      <w:pPr>
        <w:spacing w:line="480" w:lineRule="auto"/>
      </w:pPr>
      <w:r w:rsidRPr="00BD1606">
        <w:t>The purpose of this paper is to</w:t>
      </w:r>
      <w:r>
        <w:rPr>
          <w:b/>
          <w:bCs/>
          <w:i/>
          <w:iCs/>
        </w:rPr>
        <w:t xml:space="preserve"> </w:t>
      </w:r>
      <w:r>
        <w:t>i</w:t>
      </w:r>
      <w:r w:rsidR="0035615A">
        <w:t>ntroduce a new tool</w:t>
      </w:r>
      <w:r w:rsidR="0035615A" w:rsidRPr="0035615A">
        <w:rPr>
          <w:rFonts w:eastAsia="Times New Roman"/>
        </w:rPr>
        <w:t>—</w:t>
      </w:r>
      <w:r w:rsidR="0035615A">
        <w:rPr>
          <w:rFonts w:eastAsia="Times New Roman"/>
        </w:rPr>
        <w:t>The Open Science Online Grocery</w:t>
      </w:r>
      <w:r w:rsidR="0035615A" w:rsidRPr="0035615A">
        <w:rPr>
          <w:rFonts w:eastAsia="Times New Roman"/>
        </w:rPr>
        <w:t>—</w:t>
      </w:r>
      <w:r w:rsidR="0035615A">
        <w:t xml:space="preserve">for studying the effects of </w:t>
      </w:r>
      <w:r w:rsidR="00E47093">
        <w:t xml:space="preserve">the </w:t>
      </w:r>
      <w:r w:rsidR="0035615A">
        <w:t xml:space="preserve">choice </w:t>
      </w:r>
      <w:r w:rsidR="00E47093">
        <w:t xml:space="preserve">context </w:t>
      </w:r>
      <w:r w:rsidR="0035615A">
        <w:t xml:space="preserve">on </w:t>
      </w:r>
      <w:r w:rsidR="004C4715">
        <w:t>purchasing decisions</w:t>
      </w:r>
      <w:r w:rsidR="0035615A">
        <w:t>.</w:t>
      </w:r>
      <w:r>
        <w:t xml:space="preserve"> </w:t>
      </w:r>
      <w:r w:rsidR="0035615A">
        <w:t xml:space="preserve">We </w:t>
      </w:r>
      <w:r>
        <w:t>first review the features of the</w:t>
      </w:r>
      <w:r w:rsidR="0035615A">
        <w:t xml:space="preserve"> tool: a mock online grocery store containing over 1</w:t>
      </w:r>
      <w:r w:rsidR="00CE7932">
        <w:t>1</w:t>
      </w:r>
      <w:r w:rsidR="0035615A">
        <w:t xml:space="preserve">,000 products wherein researchers can modify </w:t>
      </w:r>
      <w:r w:rsidR="00E47093">
        <w:t xml:space="preserve">the </w:t>
      </w:r>
      <w:r w:rsidR="0035615A">
        <w:t xml:space="preserve">choice </w:t>
      </w:r>
      <w:r w:rsidR="00E47093">
        <w:t>context</w:t>
      </w:r>
      <w:r w:rsidR="0035615A">
        <w:t xml:space="preserve"> (e.g., </w:t>
      </w:r>
      <w:r w:rsidR="009B607B">
        <w:t>positioning</w:t>
      </w:r>
      <w:r w:rsidR="0035615A">
        <w:t xml:space="preserve">, </w:t>
      </w:r>
      <w:r w:rsidR="00710ED1">
        <w:t>labeling</w:t>
      </w:r>
      <w:r w:rsidR="0035615A">
        <w:t xml:space="preserve">, suggestions) and observe </w:t>
      </w:r>
      <w:r w:rsidR="00030949">
        <w:t>resulting</w:t>
      </w:r>
      <w:r w:rsidR="0035615A">
        <w:t xml:space="preserve"> choice. </w:t>
      </w:r>
      <w:r w:rsidR="009B607B">
        <w:t xml:space="preserve">Then, we present </w:t>
      </w:r>
      <w:r w:rsidR="00E47093">
        <w:t>three</w:t>
      </w:r>
      <w:r w:rsidR="009B607B">
        <w:t xml:space="preserve"> studies </w:t>
      </w:r>
      <w:r w:rsidR="00885081">
        <w:t xml:space="preserve">illustrating how the tool can help </w:t>
      </w:r>
      <w:r w:rsidR="009B607B">
        <w:t xml:space="preserve">assess how changes to </w:t>
      </w:r>
      <w:r w:rsidR="00710ED1">
        <w:t>labeling</w:t>
      </w:r>
      <w:r w:rsidR="009B607B">
        <w:t>, ordering</w:t>
      </w:r>
      <w:r w:rsidR="00106AEA">
        <w:t>,</w:t>
      </w:r>
      <w:r w:rsidR="009B607B">
        <w:t xml:space="preserve"> and positioning affect choice. We </w:t>
      </w:r>
      <w:r w:rsidR="00885081">
        <w:t xml:space="preserve">find </w:t>
      </w:r>
      <w:r w:rsidR="009B607B">
        <w:t>that both ordering and positioning ha</w:t>
      </w:r>
      <w:r w:rsidR="00106AEA">
        <w:t>ve</w:t>
      </w:r>
      <w:r w:rsidR="009B607B">
        <w:t xml:space="preserve"> significant effects on choice while </w:t>
      </w:r>
      <w:r w:rsidR="00710ED1">
        <w:t>labeling</w:t>
      </w:r>
      <w:r w:rsidR="009B607B">
        <w:t xml:space="preserve"> </w:t>
      </w:r>
      <w:r w:rsidR="00E47093">
        <w:t>does not</w:t>
      </w:r>
      <w:r w:rsidR="009B607B">
        <w:t xml:space="preserve">. </w:t>
      </w:r>
      <w:r w:rsidR="00885081">
        <w:t xml:space="preserve">These </w:t>
      </w:r>
      <w:r w:rsidR="009B607B">
        <w:t xml:space="preserve">findings largely align with existing research in field and laboratory settings. We hope </w:t>
      </w:r>
      <w:r w:rsidR="00ED5916">
        <w:t xml:space="preserve">this tool </w:t>
      </w:r>
      <w:r w:rsidR="00885081">
        <w:t xml:space="preserve">proves </w:t>
      </w:r>
      <w:r w:rsidR="00ED5916">
        <w:t>useful to researchers wanting</w:t>
      </w:r>
      <w:r w:rsidR="009B607B">
        <w:t xml:space="preserve"> to </w:t>
      </w:r>
      <w:r w:rsidR="00ED5916">
        <w:t xml:space="preserve">test choice </w:t>
      </w:r>
      <w:r w:rsidR="00E47093">
        <w:t xml:space="preserve">context </w:t>
      </w:r>
      <w:r w:rsidR="00ED5916">
        <w:t xml:space="preserve">modifications in a relatively affordable and efficient manner. </w:t>
      </w:r>
    </w:p>
    <w:p w14:paraId="309CF4AE" w14:textId="585FCD09" w:rsidR="00ED5916" w:rsidRDefault="00ED5916" w:rsidP="0035615A"/>
    <w:p w14:paraId="6E49B134" w14:textId="64ED7DBC" w:rsidR="0016665B" w:rsidRDefault="0016665B" w:rsidP="0035615A">
      <w:r w:rsidRPr="0016665B">
        <w:rPr>
          <w:b/>
          <w:bCs/>
          <w:i/>
          <w:iCs/>
        </w:rPr>
        <w:t>Keywords</w:t>
      </w:r>
      <w:r>
        <w:t xml:space="preserve">: health behavior, online shopping, choice architecture, eating </w:t>
      </w:r>
    </w:p>
    <w:p w14:paraId="527382ED" w14:textId="0DE9FBEA" w:rsidR="00ED5916" w:rsidRPr="00ED5916" w:rsidRDefault="00ED5916" w:rsidP="00ED5916">
      <w:pPr>
        <w:jc w:val="center"/>
        <w:rPr>
          <w:b/>
          <w:bCs/>
        </w:rPr>
      </w:pPr>
    </w:p>
    <w:p w14:paraId="6ED5EDAA" w14:textId="77777777" w:rsidR="00661698" w:rsidRDefault="00661698">
      <w:pPr>
        <w:rPr>
          <w:b/>
          <w:bCs/>
        </w:rPr>
      </w:pPr>
      <w:r>
        <w:rPr>
          <w:b/>
          <w:bCs/>
        </w:rPr>
        <w:br w:type="page"/>
      </w:r>
    </w:p>
    <w:p w14:paraId="6471FF8C" w14:textId="12960953" w:rsidR="00ED5916" w:rsidRPr="00ED5916" w:rsidRDefault="00997EB8" w:rsidP="00997EB8">
      <w:pPr>
        <w:rPr>
          <w:b/>
          <w:bCs/>
        </w:rPr>
      </w:pPr>
      <w:r>
        <w:rPr>
          <w:b/>
          <w:bCs/>
        </w:rPr>
        <w:lastRenderedPageBreak/>
        <w:t>INTRODUCTION</w:t>
      </w:r>
    </w:p>
    <w:p w14:paraId="5036B73E" w14:textId="0505DBD2" w:rsidR="00E13149" w:rsidRDefault="00E13149" w:rsidP="00E13149">
      <w:pPr>
        <w:spacing w:line="480" w:lineRule="auto"/>
        <w:rPr>
          <w:b/>
          <w:bCs/>
        </w:rPr>
      </w:pPr>
    </w:p>
    <w:p w14:paraId="4CCEC45B" w14:textId="09764517" w:rsidR="009B3A91" w:rsidRPr="00E3186A" w:rsidRDefault="009B3A91" w:rsidP="00E13149">
      <w:pPr>
        <w:spacing w:line="480" w:lineRule="auto"/>
      </w:pPr>
      <w:r w:rsidRPr="00E3186A">
        <w:tab/>
      </w:r>
      <w:r w:rsidR="00E3186A">
        <w:t xml:space="preserve">A healthy diet rich in fruits and vegetables is critical for the prevention of many chronic diseases </w:t>
      </w:r>
      <w:r w:rsidR="00E3186A" w:rsidRPr="00E3186A">
        <w:fldChar w:fldCharType="begin" w:fldLock="1"/>
      </w:r>
      <w:r w:rsidR="000630D1">
        <w:instrText>ADDIN CSL_CITATION {"citationItems":[{"id":"ITEM-1","itemData":{"author":[{"dropping-particle":"","family":"Hee Lee-Kwan","given":"Seung","non-dropping-particle":"","parse-names":false,"suffix":""},{"dropping-particle":"V","family":"Moore","given":"Latetia","non-dropping-particle":"","parse-names":false,"suffix":""},{"dropping-particle":"","family":"Blanck","given":"Heidi M","non-dropping-particle":"","parse-names":false,"suffix":""},{"dropping-particle":"","family":"Harris","given":"Diane M","non-dropping-particle":"","parse-names":false,"suffix":""},{"dropping-particle":"","family":"Galuska","given":"Deb","non-dropping-particle":"","parse-names":false,"suffix":""}],"container-title":"CDC Morbidity and Mortality Weekly Report","id":"ITEM-1","issue":"45","issued":{"date-parts":[["2017"]]},"title":"Disparities in State-Specific Adult Fruit and Vegetable Consumption — United States, 2015","type":"article","volume":"66"},"uris":["http://www.mendeley.com/documents/?uuid=feebeb24-aab5-42e3-b45d-bb5d6ded708f"]}],"mendeley":{"formattedCitation":"(Hee Lee-Kwan et al. 2017)","plainTextFormattedCitation":"(Hee Lee-Kwan et al. 2017)","previouslyFormattedCitation":"(Hee Lee-Kwan et al. 2017)"},"properties":{"noteIndex":0},"schema":"https://github.com/citation-style-language/schema/raw/master/csl-citation.json"}</w:instrText>
      </w:r>
      <w:r w:rsidR="00E3186A" w:rsidRPr="00E3186A">
        <w:fldChar w:fldCharType="separate"/>
      </w:r>
      <w:r w:rsidR="000630D1" w:rsidRPr="000630D1">
        <w:rPr>
          <w:noProof/>
        </w:rPr>
        <w:t>(Hee Lee-Kwan et al. 2017)</w:t>
      </w:r>
      <w:r w:rsidR="00E3186A" w:rsidRPr="00E3186A">
        <w:fldChar w:fldCharType="end"/>
      </w:r>
      <w:r w:rsidR="00E3186A">
        <w:t xml:space="preserve">. </w:t>
      </w:r>
      <w:r w:rsidR="00AE4C2C">
        <w:t xml:space="preserve">However, </w:t>
      </w:r>
      <w:r w:rsidR="00AE4C2C" w:rsidRPr="00E3186A">
        <w:t xml:space="preserve">less than ten percent of Americans </w:t>
      </w:r>
      <w:r w:rsidR="00AE4C2C">
        <w:t>consume the recommended amount of</w:t>
      </w:r>
      <w:r w:rsidR="00AE4C2C" w:rsidRPr="00E3186A">
        <w:t xml:space="preserve"> fruits and vegetables</w:t>
      </w:r>
      <w:r w:rsidR="00AE4C2C">
        <w:t xml:space="preserve"> each day</w:t>
      </w:r>
      <w:r w:rsidR="00AE4C2C" w:rsidRPr="00E3186A">
        <w:t xml:space="preserve"> </w:t>
      </w:r>
      <w:r w:rsidR="00AE4C2C" w:rsidRPr="00E3186A">
        <w:fldChar w:fldCharType="begin" w:fldLock="1"/>
      </w:r>
      <w:r w:rsidR="000630D1">
        <w:instrText>ADDIN CSL_CITATION {"citationItems":[{"id":"ITEM-1","itemData":{"author":[{"dropping-particle":"","family":"Hee Lee-Kwan","given":"Seung","non-dropping-particle":"","parse-names":false,"suffix":""},{"dropping-particle":"V","family":"Moore","given":"Latetia","non-dropping-particle":"","parse-names":false,"suffix":""},{"dropping-particle":"","family":"Blanck","given":"Heidi M","non-dropping-particle":"","parse-names":false,"suffix":""},{"dropping-particle":"","family":"Harris","given":"Diane M","non-dropping-particle":"","parse-names":false,"suffix":""},{"dropping-particle":"","family":"Galuska","given":"Deb","non-dropping-particle":"","parse-names":false,"suffix":""}],"container-title":"CDC Morbidity and Mortality Weekly Report","id":"ITEM-1","issue":"45","issued":{"date-parts":[["2017"]]},"title":"Disparities in State-Specific Adult Fruit and Vegetable Consumption — United States, 2015","type":"article","volume":"66"},"uris":["http://www.mendeley.com/documents/?uuid=feebeb24-aab5-42e3-b45d-bb5d6ded708f"]}],"mendeley":{"formattedCitation":"(Hee Lee-Kwan et al. 2017)","plainTextFormattedCitation":"(Hee Lee-Kwan et al. 2017)","previouslyFormattedCitation":"(Hee Lee-Kwan et al. 2017)"},"properties":{"noteIndex":0},"schema":"https://github.com/citation-style-language/schema/raw/master/csl-citation.json"}</w:instrText>
      </w:r>
      <w:r w:rsidR="00AE4C2C" w:rsidRPr="00E3186A">
        <w:fldChar w:fldCharType="separate"/>
      </w:r>
      <w:r w:rsidR="000630D1" w:rsidRPr="000630D1">
        <w:rPr>
          <w:noProof/>
        </w:rPr>
        <w:t>(Hee Lee-Kwan et al. 2017)</w:t>
      </w:r>
      <w:r w:rsidR="00AE4C2C" w:rsidRPr="00E3186A">
        <w:fldChar w:fldCharType="end"/>
      </w:r>
      <w:r w:rsidR="00AE4C2C" w:rsidRPr="00E3186A">
        <w:t>.</w:t>
      </w:r>
      <w:r w:rsidR="001B3990">
        <w:t xml:space="preserve"> Policymakers have shown increasing interest</w:t>
      </w:r>
      <w:r w:rsidR="00462310">
        <w:t xml:space="preserve"> in nudging consumers towards healthier food choices</w:t>
      </w:r>
      <w:r w:rsidR="00C34B0D">
        <w:t xml:space="preserve">, including posting nutrition information in restaurants </w:t>
      </w:r>
      <w:r w:rsidR="007D6433">
        <w:fldChar w:fldCharType="begin" w:fldLock="1"/>
      </w:r>
      <w:r w:rsidR="000042F6">
        <w:instrText>ADDIN CSL_CITATION {"citationItems":[{"id":"ITEM-1","itemData":{"DOI":"http://dx.doi.org/10.1509/jmr.13.0434","ISSN":"00222437","abstract":"Three laboratory experiments and a field experiment in a restaurant demonstrate that neither a price surcharge nor an unhealthy label is enough on its own to curtail the demand for unhealthy food. However, when the two are combined as an unhealthy label surcharge, they reduce demand for unhealthy food. The authors also show that the unhealthy label is as effective for women as the unhealthy label surcharge, whereas it backfires for men, who order more unhealthy food when there is an unhealthy label alone. The authors demonstrate that an unhealthy surcharge, which highlights both the financial disincentive and potential health costs, can significantly drive healthier consumption choices. From a policy and government perspective, if the goal is to reduce demand for unhealthy food, increasing the transparency of the health rationale for any financial disincentive is necessary to effectively lower unhealthy food consumption.","author":[{"dropping-particle":"","family":"Shah","given":"Avni M.","non-dropping-particle":"","parse-names":false,"suffix":""},{"dropping-particle":"","family":"Bettman","given":"James R","non-dropping-particle":"","parse-names":false,"suffix":""},{"dropping-particle":"","family":"Ubel","given":"Peter A.","non-dropping-particle":"","parse-names":false,"suffix":""},{"dropping-particle":"","family":"Keller","given":"Punam Anand","non-dropping-particle":"","parse-names":false,"suffix":""},{"dropping-particle":"","family":"Edell","given":"Julie A.","non-dropping-particle":"","parse-names":false,"suffix":""}],"container-title":"Journal of Marketing Research","id":"ITEM-1","issue":"6","issued":{"date-parts":[["2014"]]},"note":"Purpose: Consider the effectiveness of (1) unhealthy food surcharges (i.e., fax tax) (2) Attaching unhealthy labels of food choices or (3) A combination of 1 &amp;amp; 2 at reducing unhealthy food consumption. \n\nHypothesis: A combination of fat tax + labelling will be most effective at reducing consumption\n\nExperiment 1A: Effectiveness of Surcharges and Unhealthy Lebels on Unhealthy Food Demand\nHypothesis: Ss will be less likely to choose an item with an unhealthy surcharge + label compared to label or surcharge alone, or neither.\nMethods: Ss (N = 1200) were presented with 6 hypotheical menu items (3 unhealthy). Unhealthy choices were manipulated depending on condition (see hypotheses). Ss were instructed to choose one entree, and rate the fairness of the price and healthiness of the entree. \nResults: Adding a surcharge had no effect, laelling reduced demand (26.3%) and the label+ surcharge condition reduced demand (40.3%). The difference between labelling alone and labelling+ was sig. Men sig reduced unhealthy food choice (compared to women and compared to control) when a surcharge was added. Both men and women were affected by the labelling+surcharge condition, but women more than men. For men, price fairness and healthiness perceptions partialled mediated the effect of the label+surcharge. For women, only healthiness perception emerged as a mediatior.\n\nExperiment 1B: The Impact of Calorie Information\nMethod: Similar to 1A but SS (N = 894) randomized into 2(calorie and health into: included, not included) X 3(menu: control, surcharge, label+surcharge).\nResults: Providing calorie+fat info did not affect demand. Men sig reduced unhealthy purchasing (compared to women and men in no-surcharge) when a surcharge was added. The label+surcarge condition was more effective than the control, regardless of gender and whether calorie information was given. The label+surcharge condition also outperformed the surcharde alone condition. For men, price fairness fully mediated the effect. For women, both price fariness and healthiness mediate the effect.\n\nExperiment 2: Eating Alone V. With a Friend\nMethods: SS (n = 1987) were randomized into a 2 (dining partner: alone, same-sex friend) X 4 (menu condtion: no intervention, surcharge menu, unhealthy menu, label+surcharge) and were presented with the same menues as 1A. Ss rated fairness, healthiness and a six-itme gender identity and food stereotypes scale. They also completed the price conciousness scale and the anti-fat attitudes scale. \nResults: The label+charge condition sig altered consumption (and the label alone / charge alone conditions did not). Men were sig more likely than women to order an unhealthy entree in the label only condition. Compared with the men who made a healthy choice, these men had sig. stronger gender stereotypes surrounding food. When a surcharge was added, men who imagined eating alone sig reduced demand for unhealthy food, but men who ate with friends did not sig reduce demand. Women showed the opposite pattern. Fairness perceptions fully mediated the effect of label+charge on men. Fairness + health mediated for women. \n\nRestaurant Field Experiment\nMethod: Ss at a tapas restaurant were presented with menus following the conditions used previously.\nResults: Both the unhealthy label and the label+surcharge condition reduced consumption, and did not differ from one another. Tables with a higher prop of men than women sig increased the percentage of unhealthy entree items ordered from a menu with an unhealthy label, compared to tables with equal numbers of men and women. The label + surcharge was the only condition successful in decreasing consumption for both genders.","page":"773-789","title":"Surcharges plus unhealthy labels reduce demand for unhealthy menu items","type":"article-journal","volume":"51"},"uris":["http://www.mendeley.com/documents/?uuid=143493d8-c182-4795-8586-135180e39e57"]}],"mendeley":{"formattedCitation":"(Shah et al. 2014)","plainTextFormattedCitation":"(Shah et al. 2014)","previouslyFormattedCitation":"(Shah et al. 2014)"},"properties":{"noteIndex":0},"schema":"https://github.com/citation-style-language/schema/raw/master/csl-citation.json"}</w:instrText>
      </w:r>
      <w:r w:rsidR="007D6433">
        <w:fldChar w:fldCharType="separate"/>
      </w:r>
      <w:r w:rsidR="000630D1" w:rsidRPr="000630D1">
        <w:rPr>
          <w:noProof/>
        </w:rPr>
        <w:t>(Shah et al. 2014)</w:t>
      </w:r>
      <w:r w:rsidR="007D6433">
        <w:fldChar w:fldCharType="end"/>
      </w:r>
      <w:r w:rsidR="00106AEA">
        <w:t>,</w:t>
      </w:r>
      <w:r w:rsidR="00C34B0D">
        <w:t xml:space="preserve"> </w:t>
      </w:r>
      <w:r w:rsidR="001B3990">
        <w:t xml:space="preserve">mandated front-of-package labels </w:t>
      </w:r>
      <w:r w:rsidR="007D6433">
        <w:fldChar w:fldCharType="begin" w:fldLock="1"/>
      </w:r>
      <w:r w:rsidR="000630D1">
        <w:instrText>ADDIN CSL_CITATION {"citationItems":[{"id":"ITEM-1","itemData":{"DOI":"10.1017/S1368980012000754","ISBN":"1368980012000","ISSN":"13689800","PMID":"22440538","abstract":"OBJECTIVE: The U.S. Food and Drug Administration and Institute of Medicine are currently investigating front-of-package (FOP) food labelling systems to provide science-based guidance to the food industry. The present paper reviews the literature on FOP labelling and supermarket shelf-labelling systems published or under review by February 2011 to inform current investigations and identify areas of future research. DESIGN: A structured search was undertaken of research studies on consumer use, understanding of, preference for, perception of and behaviours relating to FOP/shelf labelling published between January 2004 and February 2011. RESULTS: Twenty-eight studies from a structured search met inclusion criteria. Reviewed studies examined consumer preferences, understanding and use of different labelling systems as well as label impact on purchasing patterns and industry product reformulation. CONCLUSIONS: The findings indicate that the Multiple Traffic Light system has most consistently helped consumers identify healthier products; however, additional research on different labelling systems' abilities to influence consumer behaviour is needed.","author":[{"dropping-particle":"","family":"Hawley","given":"Kristy L.","non-dropping-particle":"","parse-names":false,"suffix":""},{"dropping-particle":"","family":"Roberto","given":"Christina A.","non-dropping-particle":"","parse-names":false,"suffix":""},{"dropping-particle":"","family":"Bragg","given":"Marie A.","non-dropping-particle":"","parse-names":false,"suffix":""},{"dropping-particle":"","family":"Liu","given":"Peggy J","non-dropping-particle":"","parse-names":false,"suffix":""},{"dropping-particle":"","family":"Schwartz","given":"Marlene B.","non-dropping-particle":"","parse-names":false,"suffix":""},{"dropping-particle":"","family":"Brownell","given":"Kelly D.","non-dropping-particle":"","parse-names":false,"suffix":""}],"container-title":"Public Health Nutrition","id":"ITEM-1","issue":"3","issued":{"date-parts":[["2013"]]},"page":"430-439","title":"The science on front-of-package food labels","type":"article-journal","volume":"16"},"uris":["http://www.mendeley.com/documents/?uuid=b7534a0c-ed3e-4c90-9e22-52a6a1f07134"]}],"mendeley":{"formattedCitation":"(Hawley et al. 2013)","plainTextFormattedCitation":"(Hawley et al. 2013)","previouslyFormattedCitation":"(Hawley et al. 2013)"},"properties":{"noteIndex":0},"schema":"https://github.com/citation-style-language/schema/raw/master/csl-citation.json"}</w:instrText>
      </w:r>
      <w:r w:rsidR="007D6433">
        <w:fldChar w:fldCharType="separate"/>
      </w:r>
      <w:r w:rsidR="000630D1" w:rsidRPr="000630D1">
        <w:rPr>
          <w:noProof/>
        </w:rPr>
        <w:t>(Hawley et al. 2013)</w:t>
      </w:r>
      <w:r w:rsidR="007D6433">
        <w:fldChar w:fldCharType="end"/>
      </w:r>
      <w:r w:rsidR="001B3990">
        <w:t xml:space="preserve">, and </w:t>
      </w:r>
      <w:r w:rsidR="00C34B0D">
        <w:t xml:space="preserve">limiting soda portion sizes </w:t>
      </w:r>
      <w:r w:rsidR="00C34B0D">
        <w:fldChar w:fldCharType="begin" w:fldLock="1"/>
      </w:r>
      <w:r w:rsidR="000630D1">
        <w:instrText>ADDIN CSL_CITATION {"citationItems":[{"id":"ITEM-1","itemData":{"DOI":"10.1177/0956797617692041","ISSN":"1467-9280 (Electronic)","PMID":"28362567","abstract":"In 2012, the New York City Board of Health prohibited restaurants from selling sugary drinks in containers that would hold more than 16 oz. Although a state court ruled that the Board of Health did not have the authority to implement such a policy, it remains a legally viable option for governments and a voluntary option for restaurants. However, there is very limited empirical data on how such a policy might affect the purchasing and consumption of sugary drinks. We report four well-powered, incentive-compatible experiments in which we evaluated two possible ways that restaurants might comply with such a policy: bundling (i.e., dividing the contents of oversized cups into two regulation-size cups) and providing free refills (i.e., offering a regulation-size cup with unlimited refills). Bundling caused people to buy less soda. Free refills increased consumption, especially when a waiter served the refills. This perverse effect was reduced in self-service contexts that required walking just a few steps to get a refill.","author":[{"dropping-particle":"","family":"John","given":"Leslie K","non-dropping-particle":"","parse-names":false,"suffix":""},{"dropping-particle":"","family":"Donnelly","given":"Grant E","non-dropping-particle":"","parse-names":false,"suffix":""},{"dropping-particle":"","family":"Roberto","given":"Christina A","non-dropping-particle":"","parse-names":false,"suffix":""}],"container-title":"Psychological Science","id":"ITEM-1","issue":"5","issued":{"date-parts":[["2017","3"]]},"language":"eng","page":"620-629","publisher-place":"United States","title":"Psychologically informed implementations of sugary-drink portion limits.","type":"article-journal","volume":"28"},"uris":["http://www.mendeley.com/documents/?uuid=5f036648-94f6-4aa2-be80-1f8545af06c3"]}],"mendeley":{"formattedCitation":"(John, Donnelly, and Roberto 2017)","plainTextFormattedCitation":"(John, Donnelly, and Roberto 2017)","previouslyFormattedCitation":"(John, Donnelly, and Roberto 2017)"},"properties":{"noteIndex":0},"schema":"https://github.com/citation-style-language/schema/raw/master/csl-citation.json"}</w:instrText>
      </w:r>
      <w:r w:rsidR="00C34B0D">
        <w:fldChar w:fldCharType="separate"/>
      </w:r>
      <w:r w:rsidR="000630D1" w:rsidRPr="000630D1">
        <w:rPr>
          <w:noProof/>
        </w:rPr>
        <w:t>(John, Donnelly, and Roberto 2017)</w:t>
      </w:r>
      <w:r w:rsidR="00C34B0D">
        <w:fldChar w:fldCharType="end"/>
      </w:r>
      <w:r w:rsidR="001B3990">
        <w:t xml:space="preserve">. </w:t>
      </w:r>
    </w:p>
    <w:p w14:paraId="4F5A12E0" w14:textId="65602BAB" w:rsidR="00BD1606" w:rsidRDefault="001B3990" w:rsidP="00E13149">
      <w:pPr>
        <w:spacing w:line="480" w:lineRule="auto"/>
        <w:rPr>
          <w:rFonts w:eastAsia="Times New Roman"/>
        </w:rPr>
      </w:pPr>
      <w:r>
        <w:rPr>
          <w:b/>
          <w:bCs/>
        </w:rPr>
        <w:tab/>
      </w:r>
      <w:r>
        <w:t xml:space="preserve">Given the importance of and interest in nudging consumers towards healthier choices, it falls upon researchers to determine which nudges are most effective at changing behavior. </w:t>
      </w:r>
      <w:r w:rsidR="00483859">
        <w:t xml:space="preserve">However, conducting this research has proven difficult. </w:t>
      </w:r>
      <w:r w:rsidR="00030949">
        <w:rPr>
          <w:rFonts w:eastAsia="Times New Roman"/>
        </w:rPr>
        <w:t>A</w:t>
      </w:r>
      <w:r w:rsidR="00483859">
        <w:rPr>
          <w:rFonts w:eastAsia="Times New Roman"/>
        </w:rPr>
        <w:t xml:space="preserve"> randomized control field experiment</w:t>
      </w:r>
      <w:r w:rsidR="00030949">
        <w:rPr>
          <w:rFonts w:eastAsia="Times New Roman"/>
        </w:rPr>
        <w:t xml:space="preserve"> </w:t>
      </w:r>
      <w:r w:rsidR="00483859">
        <w:rPr>
          <w:rFonts w:eastAsia="Times New Roman"/>
        </w:rPr>
        <w:t xml:space="preserve">requires the cooperation of a major retailer. Retailers understandably may be concerned that </w:t>
      </w:r>
      <w:r w:rsidR="00E37939">
        <w:rPr>
          <w:rFonts w:eastAsia="Times New Roman"/>
        </w:rPr>
        <w:t>randomized control trials (</w:t>
      </w:r>
      <w:r w:rsidR="00483859">
        <w:rPr>
          <w:rFonts w:eastAsia="Times New Roman"/>
        </w:rPr>
        <w:t>RCTs</w:t>
      </w:r>
      <w:r w:rsidR="00E37939">
        <w:rPr>
          <w:rFonts w:eastAsia="Times New Roman"/>
        </w:rPr>
        <w:t xml:space="preserve">) </w:t>
      </w:r>
      <w:r w:rsidR="00483859">
        <w:rPr>
          <w:rFonts w:eastAsia="Times New Roman"/>
        </w:rPr>
        <w:t>will affect profit margins, confuse consumers, or require too much of their employees.</w:t>
      </w:r>
      <w:r w:rsidR="00D26125">
        <w:rPr>
          <w:rFonts w:eastAsia="Times New Roman"/>
        </w:rPr>
        <w:t xml:space="preserve"> </w:t>
      </w:r>
      <w:r w:rsidR="00483859">
        <w:rPr>
          <w:rFonts w:eastAsia="Times New Roman"/>
        </w:rPr>
        <w:t xml:space="preserve">Often, </w:t>
      </w:r>
      <w:r w:rsidR="00030949">
        <w:rPr>
          <w:rFonts w:eastAsia="Times New Roman"/>
        </w:rPr>
        <w:t>retailer hesitance</w:t>
      </w:r>
      <w:r w:rsidR="00483859">
        <w:rPr>
          <w:rFonts w:eastAsia="Times New Roman"/>
        </w:rPr>
        <w:t xml:space="preserve"> prevents large scale randomized field testing; rather researchers end up testing ideas on single product categories, </w:t>
      </w:r>
      <w:r w:rsidR="004B1FC7">
        <w:rPr>
          <w:rFonts w:eastAsia="Times New Roman"/>
        </w:rPr>
        <w:t>not having an appropriate control condition, or not running the trial at all. Absent retailer cooperation, researchers run choice architecture studies in artificial lab settings or using hypothetical scenarios</w:t>
      </w:r>
      <w:r w:rsidR="00FF2D40">
        <w:rPr>
          <w:rFonts w:eastAsia="Times New Roman"/>
        </w:rPr>
        <w:t xml:space="preserve"> with a limited range of products</w:t>
      </w:r>
      <w:r w:rsidR="004B1FC7">
        <w:rPr>
          <w:rFonts w:eastAsia="Times New Roman"/>
        </w:rPr>
        <w:t xml:space="preserve">. </w:t>
      </w:r>
      <w:r w:rsidR="00030949">
        <w:rPr>
          <w:rFonts w:eastAsia="Times New Roman"/>
        </w:rPr>
        <w:t xml:space="preserve">Because of these limitations, it can be difficult to make well-controlled ecologically valid assessments of how </w:t>
      </w:r>
      <w:r w:rsidR="00E47093">
        <w:rPr>
          <w:rFonts w:eastAsia="Times New Roman"/>
        </w:rPr>
        <w:t xml:space="preserve">the </w:t>
      </w:r>
      <w:r w:rsidR="00030949">
        <w:rPr>
          <w:rFonts w:eastAsia="Times New Roman"/>
        </w:rPr>
        <w:t xml:space="preserve">choice </w:t>
      </w:r>
      <w:r w:rsidR="00E47093">
        <w:rPr>
          <w:rFonts w:eastAsia="Times New Roman"/>
        </w:rPr>
        <w:t xml:space="preserve">context </w:t>
      </w:r>
      <w:r w:rsidR="00030949">
        <w:rPr>
          <w:rFonts w:eastAsia="Times New Roman"/>
        </w:rPr>
        <w:t xml:space="preserve">affects consumer food choice. </w:t>
      </w:r>
    </w:p>
    <w:p w14:paraId="26BA23BF" w14:textId="35783908" w:rsidR="00B94106" w:rsidRDefault="00B11D10" w:rsidP="00B11D10">
      <w:pPr>
        <w:spacing w:line="480" w:lineRule="auto"/>
        <w:rPr>
          <w:rFonts w:eastAsia="Times New Roman"/>
        </w:rPr>
      </w:pPr>
      <w:r>
        <w:rPr>
          <w:rFonts w:eastAsia="Times New Roman"/>
        </w:rPr>
        <w:tab/>
        <w:t xml:space="preserve">The possibilities for choice </w:t>
      </w:r>
      <w:r w:rsidR="00E47093">
        <w:rPr>
          <w:rFonts w:eastAsia="Times New Roman"/>
        </w:rPr>
        <w:t xml:space="preserve">context </w:t>
      </w:r>
      <w:r>
        <w:rPr>
          <w:rFonts w:eastAsia="Times New Roman"/>
        </w:rPr>
        <w:t xml:space="preserve">modifications are also expanding as an increasing number of consumers </w:t>
      </w:r>
      <w:r w:rsidR="00761A05">
        <w:rPr>
          <w:rFonts w:eastAsia="Times New Roman"/>
        </w:rPr>
        <w:t>shop</w:t>
      </w:r>
      <w:r>
        <w:rPr>
          <w:rFonts w:eastAsia="Times New Roman"/>
        </w:rPr>
        <w:t xml:space="preserve"> for groceries online </w:t>
      </w:r>
      <w:r w:rsidR="00761A05">
        <w:rPr>
          <w:rFonts w:eastAsia="Times New Roman"/>
        </w:rPr>
        <w:fldChar w:fldCharType="begin" w:fldLock="1"/>
      </w:r>
      <w:r w:rsidR="000630D1">
        <w:rPr>
          <w:rFonts w:eastAsia="Times New Roman"/>
        </w:rPr>
        <w:instrText>ADDIN CSL_CITATION {"citationItems":[{"id":"ITEM-1","itemData":{"URL":"https://www.inmar.com/blog/thought-leadership/surge-online-grocery-shopping","author":[{"dropping-particle":"","family":"Inmar Intelligence","given":"","non-dropping-particle":"","parse-names":false,"suffix":""}],"container-title":"Thought Leadership Blog","id":"ITEM-1","issued":{"date-parts":[["2020"]]},"title":"A surge in online grocery shopping","type":"webpage"},"uris":["http://www.mendeley.com/documents/?uuid=0e318609-c5c2-4b81-8bc8-3a71090ebe21"]}],"mendeley":{"formattedCitation":"(Inmar Intelligence 2020)","plainTextFormattedCitation":"(Inmar Intelligence 2020)","previouslyFormattedCitation":"(Inmar Intelligence 2020)"},"properties":{"noteIndex":0},"schema":"https://github.com/citation-style-language/schema/raw/master/csl-citation.json"}</w:instrText>
      </w:r>
      <w:r w:rsidR="00761A05">
        <w:rPr>
          <w:rFonts w:eastAsia="Times New Roman"/>
        </w:rPr>
        <w:fldChar w:fldCharType="separate"/>
      </w:r>
      <w:r w:rsidR="000630D1" w:rsidRPr="000630D1">
        <w:rPr>
          <w:rFonts w:eastAsia="Times New Roman"/>
          <w:noProof/>
        </w:rPr>
        <w:t>(Inmar Intelligence 2020)</w:t>
      </w:r>
      <w:r w:rsidR="00761A05">
        <w:rPr>
          <w:rFonts w:eastAsia="Times New Roman"/>
        </w:rPr>
        <w:fldChar w:fldCharType="end"/>
      </w:r>
      <w:r>
        <w:rPr>
          <w:rFonts w:eastAsia="Times New Roman"/>
        </w:rPr>
        <w:t xml:space="preserve">. As consumers move from brick-and-mortar to online </w:t>
      </w:r>
      <w:r w:rsidR="00761A05">
        <w:rPr>
          <w:rFonts w:eastAsia="Times New Roman"/>
        </w:rPr>
        <w:t>retailers</w:t>
      </w:r>
      <w:r>
        <w:rPr>
          <w:rFonts w:eastAsia="Times New Roman"/>
        </w:rPr>
        <w:t>,</w:t>
      </w:r>
      <w:r w:rsidR="003928CB">
        <w:rPr>
          <w:rFonts w:eastAsia="Times New Roman"/>
        </w:rPr>
        <w:t xml:space="preserve"> certain interventions become possible </w:t>
      </w:r>
      <w:r w:rsidR="002F1ABF">
        <w:rPr>
          <w:rFonts w:eastAsia="Times New Roman"/>
        </w:rPr>
        <w:t xml:space="preserve">or much easier to implement (e.g., product recommendations, following consumers over time, store </w:t>
      </w:r>
      <w:r w:rsidR="002F1ABF">
        <w:rPr>
          <w:rFonts w:eastAsia="Times New Roman"/>
        </w:rPr>
        <w:lastRenderedPageBreak/>
        <w:t xml:space="preserve">reorganization). However, it is cost prohibitive for individual researchers to build their own mock online stores, and the issues inherent in retailer collaboration are largely similar in online versus brick-and-mortar retailers. </w:t>
      </w:r>
    </w:p>
    <w:p w14:paraId="6C56DF7D" w14:textId="46D0CD3A" w:rsidR="00FF2D40" w:rsidRDefault="00FF2D40" w:rsidP="00E13149">
      <w:pPr>
        <w:spacing w:line="480" w:lineRule="auto"/>
        <w:rPr>
          <w:rFonts w:eastAsia="Times New Roman"/>
        </w:rPr>
      </w:pPr>
      <w:r>
        <w:rPr>
          <w:rFonts w:eastAsia="Times New Roman"/>
        </w:rPr>
        <w:tab/>
        <w:t xml:space="preserve">We developed the Open Science Online Grocery (OSOG) platform </w:t>
      </w:r>
      <w:r w:rsidR="00E40BA2">
        <w:rPr>
          <w:rFonts w:eastAsia="Times New Roman"/>
        </w:rPr>
        <w:t>to provide a</w:t>
      </w:r>
      <w:r w:rsidR="002F1ABF">
        <w:rPr>
          <w:rFonts w:eastAsia="Times New Roman"/>
        </w:rPr>
        <w:t xml:space="preserve"> cost-effective and relatively ecologically valid </w:t>
      </w:r>
      <w:r w:rsidR="00E40BA2">
        <w:rPr>
          <w:rFonts w:eastAsia="Times New Roman"/>
        </w:rPr>
        <w:t xml:space="preserve">option to researchers </w:t>
      </w:r>
      <w:r w:rsidR="00761A05">
        <w:rPr>
          <w:rFonts w:eastAsia="Times New Roman"/>
        </w:rPr>
        <w:t>studying</w:t>
      </w:r>
      <w:r w:rsidR="00E40BA2">
        <w:rPr>
          <w:rFonts w:eastAsia="Times New Roman"/>
        </w:rPr>
        <w:t xml:space="preserve"> choice </w:t>
      </w:r>
      <w:r w:rsidR="00E47093">
        <w:rPr>
          <w:rFonts w:eastAsia="Times New Roman"/>
        </w:rPr>
        <w:t xml:space="preserve">context’s </w:t>
      </w:r>
      <w:r w:rsidR="00E40BA2">
        <w:rPr>
          <w:rFonts w:eastAsia="Times New Roman"/>
        </w:rPr>
        <w:t>effect on food choice.</w:t>
      </w:r>
      <w:r w:rsidR="00D26125">
        <w:rPr>
          <w:rFonts w:eastAsia="Times New Roman"/>
        </w:rPr>
        <w:t xml:space="preserve"> </w:t>
      </w:r>
      <w:r w:rsidR="00761A05">
        <w:rPr>
          <w:rFonts w:eastAsia="Times New Roman"/>
        </w:rPr>
        <w:t xml:space="preserve">The </w:t>
      </w:r>
      <w:r w:rsidR="00D26125">
        <w:rPr>
          <w:rFonts w:eastAsia="Times New Roman"/>
        </w:rPr>
        <w:t>OSOG</w:t>
      </w:r>
      <w:r w:rsidR="00761A05">
        <w:rPr>
          <w:rFonts w:eastAsia="Times New Roman"/>
        </w:rPr>
        <w:t xml:space="preserve"> </w:t>
      </w:r>
      <w:r w:rsidR="00D26125">
        <w:rPr>
          <w:rFonts w:eastAsia="Times New Roman"/>
        </w:rPr>
        <w:t>platform mimics a</w:t>
      </w:r>
      <w:r w:rsidR="00BA7964">
        <w:rPr>
          <w:rFonts w:eastAsia="Times New Roman"/>
        </w:rPr>
        <w:t xml:space="preserve"> large </w:t>
      </w:r>
      <w:r w:rsidR="00D26125">
        <w:rPr>
          <w:rFonts w:eastAsia="Times New Roman"/>
        </w:rPr>
        <w:t xml:space="preserve">online grocery store, like Instacart or Amazon Fresh. </w:t>
      </w:r>
      <w:r w:rsidR="00761A05">
        <w:rPr>
          <w:rFonts w:eastAsia="Times New Roman"/>
        </w:rPr>
        <w:t>OSOG</w:t>
      </w:r>
      <w:r w:rsidR="00D26125">
        <w:rPr>
          <w:rFonts w:eastAsia="Times New Roman"/>
        </w:rPr>
        <w:t xml:space="preserve"> allows researchers to easily change the choice </w:t>
      </w:r>
      <w:r w:rsidR="00E47093">
        <w:rPr>
          <w:rFonts w:eastAsia="Times New Roman"/>
        </w:rPr>
        <w:t xml:space="preserve">context </w:t>
      </w:r>
      <w:r w:rsidR="00D26125">
        <w:rPr>
          <w:rFonts w:eastAsia="Times New Roman"/>
        </w:rPr>
        <w:t xml:space="preserve">of the store and observe effects on consumers’ behavior. </w:t>
      </w:r>
      <w:r w:rsidR="00761A05">
        <w:rPr>
          <w:rFonts w:eastAsia="Times New Roman"/>
        </w:rPr>
        <w:t>Because all</w:t>
      </w:r>
      <w:r w:rsidR="00D26125">
        <w:rPr>
          <w:rFonts w:eastAsia="Times New Roman"/>
        </w:rPr>
        <w:t xml:space="preserve"> purchases in OSOG are hypothetical, participants are n</w:t>
      </w:r>
      <w:r w:rsidR="00761A05">
        <w:rPr>
          <w:rFonts w:eastAsia="Times New Roman"/>
        </w:rPr>
        <w:t>either</w:t>
      </w:r>
      <w:r w:rsidR="00D26125">
        <w:rPr>
          <w:rFonts w:eastAsia="Times New Roman"/>
        </w:rPr>
        <w:t xml:space="preserve"> charged </w:t>
      </w:r>
      <w:r w:rsidR="00BA7964">
        <w:rPr>
          <w:rFonts w:eastAsia="Times New Roman"/>
        </w:rPr>
        <w:t xml:space="preserve">for </w:t>
      </w:r>
      <w:r w:rsidR="00761A05">
        <w:rPr>
          <w:rFonts w:eastAsia="Times New Roman"/>
        </w:rPr>
        <w:t>n</w:t>
      </w:r>
      <w:r w:rsidR="00D26125">
        <w:rPr>
          <w:rFonts w:eastAsia="Times New Roman"/>
        </w:rPr>
        <w:t xml:space="preserve">or sent their groceries.  </w:t>
      </w:r>
      <w:r w:rsidR="00B11D10">
        <w:rPr>
          <w:rFonts w:eastAsia="Times New Roman"/>
        </w:rPr>
        <w:t xml:space="preserve">However, researchers </w:t>
      </w:r>
      <w:r w:rsidR="00761A05">
        <w:rPr>
          <w:rFonts w:eastAsia="Times New Roman"/>
        </w:rPr>
        <w:t>could</w:t>
      </w:r>
      <w:r w:rsidR="00B11D10">
        <w:rPr>
          <w:rFonts w:eastAsia="Times New Roman"/>
        </w:rPr>
        <w:t xml:space="preserve"> fulfill participants’ orders using </w:t>
      </w:r>
      <w:r w:rsidR="00761A05">
        <w:rPr>
          <w:rFonts w:eastAsia="Times New Roman"/>
        </w:rPr>
        <w:t>a</w:t>
      </w:r>
      <w:r w:rsidR="00B11D10">
        <w:rPr>
          <w:rFonts w:eastAsia="Times New Roman"/>
        </w:rPr>
        <w:t xml:space="preserve"> local grocer if they so desired. </w:t>
      </w:r>
      <w:r w:rsidR="00000522">
        <w:rPr>
          <w:rFonts w:eastAsia="Times New Roman"/>
        </w:rPr>
        <w:t xml:space="preserve">OSOG integrates easily with existing survey software like Qualtrics and can be easily run with </w:t>
      </w:r>
      <w:r w:rsidR="00030949">
        <w:rPr>
          <w:rFonts w:eastAsia="Times New Roman"/>
        </w:rPr>
        <w:t>online panel participants</w:t>
      </w:r>
      <w:r w:rsidR="00000522">
        <w:rPr>
          <w:rFonts w:eastAsia="Times New Roman"/>
        </w:rPr>
        <w:t xml:space="preserve">. </w:t>
      </w:r>
    </w:p>
    <w:p w14:paraId="5345C684" w14:textId="080B94B5" w:rsidR="00FB2265" w:rsidRDefault="00000522" w:rsidP="00E13149">
      <w:pPr>
        <w:spacing w:line="480" w:lineRule="auto"/>
        <w:rPr>
          <w:rFonts w:eastAsia="Times New Roman"/>
        </w:rPr>
      </w:pPr>
      <w:r>
        <w:rPr>
          <w:rFonts w:eastAsia="Times New Roman"/>
        </w:rPr>
        <w:tab/>
        <w:t xml:space="preserve">In this paper, we </w:t>
      </w:r>
      <w:r w:rsidR="00B36068">
        <w:rPr>
          <w:rFonts w:eastAsia="Times New Roman"/>
        </w:rPr>
        <w:t xml:space="preserve">first provide a descriptive overview of the store and its functionality. </w:t>
      </w:r>
      <w:r w:rsidR="009F5556">
        <w:rPr>
          <w:rFonts w:eastAsia="Times New Roman"/>
        </w:rPr>
        <w:t xml:space="preserve">The rest of the paper is </w:t>
      </w:r>
      <w:r w:rsidR="00761A05">
        <w:rPr>
          <w:rFonts w:eastAsia="Times New Roman"/>
        </w:rPr>
        <w:t>divided</w:t>
      </w:r>
      <w:r w:rsidR="009F5556">
        <w:rPr>
          <w:rFonts w:eastAsia="Times New Roman"/>
        </w:rPr>
        <w:t xml:space="preserve"> into </w:t>
      </w:r>
      <w:r w:rsidR="00E37939">
        <w:rPr>
          <w:rFonts w:eastAsia="Times New Roman"/>
        </w:rPr>
        <w:t>three</w:t>
      </w:r>
      <w:r w:rsidR="009F5556">
        <w:rPr>
          <w:rFonts w:eastAsia="Times New Roman"/>
        </w:rPr>
        <w:t xml:space="preserve"> illustrations: </w:t>
      </w:r>
      <w:r w:rsidR="00710ED1">
        <w:rPr>
          <w:rFonts w:eastAsia="Times New Roman"/>
        </w:rPr>
        <w:t>labeling</w:t>
      </w:r>
      <w:r w:rsidR="009F5556">
        <w:rPr>
          <w:rFonts w:eastAsia="Times New Roman"/>
        </w:rPr>
        <w:t xml:space="preserve">, sorting, and categories. Within each illustration, </w:t>
      </w:r>
      <w:r w:rsidR="00B36068">
        <w:rPr>
          <w:rFonts w:eastAsia="Times New Roman"/>
        </w:rPr>
        <w:t xml:space="preserve">we </w:t>
      </w:r>
      <w:r w:rsidR="00FA160C">
        <w:rPr>
          <w:rFonts w:eastAsia="Times New Roman"/>
        </w:rPr>
        <w:t xml:space="preserve">briefly review the existing literature on </w:t>
      </w:r>
      <w:r w:rsidR="009F5556">
        <w:rPr>
          <w:rFonts w:eastAsia="Times New Roman"/>
        </w:rPr>
        <w:t xml:space="preserve">the </w:t>
      </w:r>
      <w:r w:rsidR="00FA160C">
        <w:rPr>
          <w:rFonts w:eastAsia="Times New Roman"/>
        </w:rPr>
        <w:t>nudge</w:t>
      </w:r>
      <w:r w:rsidR="009F5556">
        <w:rPr>
          <w:rFonts w:eastAsia="Times New Roman"/>
        </w:rPr>
        <w:t xml:space="preserve"> before presenting empirical evidence from OSOG</w:t>
      </w:r>
      <w:r w:rsidR="00113257">
        <w:rPr>
          <w:rFonts w:eastAsia="Times New Roman"/>
        </w:rPr>
        <w:t xml:space="preserve">. Across </w:t>
      </w:r>
      <w:r w:rsidR="00E37939">
        <w:rPr>
          <w:rFonts w:eastAsia="Times New Roman"/>
        </w:rPr>
        <w:t>three</w:t>
      </w:r>
      <w:r w:rsidR="00113257">
        <w:rPr>
          <w:rFonts w:eastAsia="Times New Roman"/>
        </w:rPr>
        <w:t xml:space="preserve"> studies, we show that findings from the Open Science Online Grocery largely mirror those </w:t>
      </w:r>
      <w:r w:rsidR="00FB2265">
        <w:rPr>
          <w:rFonts w:eastAsia="Times New Roman"/>
        </w:rPr>
        <w:t>from the existing literature</w:t>
      </w:r>
      <w:r w:rsidR="0049021A">
        <w:rPr>
          <w:rFonts w:eastAsia="Times New Roman"/>
        </w:rPr>
        <w:t xml:space="preserve"> suggesting that novel innovations tested in OSOG would be likely to predict real world response to such interventions</w:t>
      </w:r>
      <w:r w:rsidR="00FB2265">
        <w:rPr>
          <w:rFonts w:eastAsia="Times New Roman"/>
        </w:rPr>
        <w:t xml:space="preserve">. </w:t>
      </w:r>
    </w:p>
    <w:p w14:paraId="43BF7276" w14:textId="77777777" w:rsidR="00452AC7" w:rsidRPr="00452AC7" w:rsidRDefault="00452AC7" w:rsidP="00E13149">
      <w:pPr>
        <w:spacing w:line="480" w:lineRule="auto"/>
        <w:rPr>
          <w:rFonts w:eastAsia="Times New Roman"/>
        </w:rPr>
      </w:pPr>
    </w:p>
    <w:p w14:paraId="0B19C811" w14:textId="6C476264" w:rsidR="00ED5916" w:rsidRPr="00997EB8" w:rsidRDefault="00ED5916" w:rsidP="00E13149">
      <w:pPr>
        <w:spacing w:line="480" w:lineRule="auto"/>
        <w:rPr>
          <w:i/>
          <w:iCs/>
        </w:rPr>
      </w:pPr>
      <w:r w:rsidRPr="00997EB8">
        <w:rPr>
          <w:i/>
          <w:iCs/>
        </w:rPr>
        <w:t>The Open Science Online Grocery</w:t>
      </w:r>
    </w:p>
    <w:p w14:paraId="6EBBFBF0" w14:textId="2BB33EAD" w:rsidR="00661698" w:rsidRDefault="00ED5916" w:rsidP="00E13149">
      <w:pPr>
        <w:spacing w:line="480" w:lineRule="auto"/>
      </w:pPr>
      <w:r>
        <w:tab/>
        <w:t>The Open Science Online Grocery (OSOG) platform is</w:t>
      </w:r>
      <w:r w:rsidR="00661698">
        <w:t xml:space="preserve"> a free research tool designed to study </w:t>
      </w:r>
      <w:r w:rsidR="00E47093">
        <w:t>the effect of choice context</w:t>
      </w:r>
      <w:r w:rsidR="00661698">
        <w:t xml:space="preserve"> </w:t>
      </w:r>
      <w:r w:rsidR="00E47093">
        <w:t xml:space="preserve">changes </w:t>
      </w:r>
      <w:r w:rsidR="00661698">
        <w:t>in a grocery setting.</w:t>
      </w:r>
      <w:r w:rsidR="00D57AA7">
        <w:t xml:space="preserve"> It is located at </w:t>
      </w:r>
      <w:hyperlink r:id="rId5" w:history="1">
        <w:r w:rsidR="00D57AA7" w:rsidRPr="00966061">
          <w:rPr>
            <w:rStyle w:val="Hyperlink"/>
          </w:rPr>
          <w:t>https://openscience-onlinegrocery.com/</w:t>
        </w:r>
      </w:hyperlink>
      <w:r w:rsidR="00D57AA7">
        <w:t xml:space="preserve">. </w:t>
      </w:r>
      <w:r w:rsidR="00661698">
        <w:t xml:space="preserve"> OSOG </w:t>
      </w:r>
      <w:r w:rsidR="00761A05">
        <w:t>i</w:t>
      </w:r>
      <w:r w:rsidR="00661698">
        <w:t xml:space="preserve">s designed to be accessible to researchers with no web coding experience. However, researchers who are interested in making their own </w:t>
      </w:r>
      <w:r w:rsidR="00661698">
        <w:lastRenderedPageBreak/>
        <w:t xml:space="preserve">modifications to the store can access the source code at: </w:t>
      </w:r>
      <w:r w:rsidR="003A022A" w:rsidRPr="003A022A">
        <w:t>https://github.com/Open-Science-Online-Grocery/online-grocery/</w:t>
      </w:r>
      <w:r w:rsidR="00661698">
        <w:t xml:space="preserve"> or contact the lead author to discuss options.</w:t>
      </w:r>
      <w:r w:rsidR="002373A9">
        <w:t xml:space="preserve"> Academic and government researchers are free to use, change, and distribute the software including components like photographs, item descriptions, and nutrition information. </w:t>
      </w:r>
      <w:r w:rsidR="003A022A">
        <w:t xml:space="preserve">Industry researchers should reach out to the first author to discuss options. </w:t>
      </w:r>
    </w:p>
    <w:p w14:paraId="09968633" w14:textId="1D207045" w:rsidR="00ED5916" w:rsidRDefault="00661698" w:rsidP="00661698">
      <w:pPr>
        <w:spacing w:line="480" w:lineRule="auto"/>
        <w:ind w:firstLine="720"/>
        <w:rPr>
          <w:rFonts w:eastAsia="Times New Roman"/>
        </w:rPr>
      </w:pPr>
      <w:r>
        <w:t xml:space="preserve">OSOG </w:t>
      </w:r>
      <w:r w:rsidR="00761A05">
        <w:t xml:space="preserve">consists </w:t>
      </w:r>
      <w:r w:rsidR="00ED5916">
        <w:t>of a researcher interface</w:t>
      </w:r>
      <w:r w:rsidR="00ED5916" w:rsidRPr="0035615A">
        <w:rPr>
          <w:rFonts w:eastAsia="Times New Roman"/>
        </w:rPr>
        <w:t>—</w:t>
      </w:r>
      <w:r w:rsidR="00ED5916">
        <w:rPr>
          <w:rFonts w:eastAsia="Times New Roman"/>
        </w:rPr>
        <w:t>where the researcher can easily make changes to</w:t>
      </w:r>
      <w:r w:rsidR="00E47093">
        <w:rPr>
          <w:rFonts w:eastAsia="Times New Roman"/>
        </w:rPr>
        <w:t xml:space="preserve"> the</w:t>
      </w:r>
      <w:r w:rsidR="00ED5916">
        <w:rPr>
          <w:rFonts w:eastAsia="Times New Roman"/>
        </w:rPr>
        <w:t xml:space="preserve"> choice </w:t>
      </w:r>
      <w:r w:rsidR="00E47093">
        <w:rPr>
          <w:rFonts w:eastAsia="Times New Roman"/>
        </w:rPr>
        <w:t>context</w:t>
      </w:r>
      <w:r w:rsidR="00ED5916" w:rsidRPr="0035615A">
        <w:rPr>
          <w:rFonts w:eastAsia="Times New Roman"/>
        </w:rPr>
        <w:t>—</w:t>
      </w:r>
      <w:r w:rsidR="00ED5916">
        <w:rPr>
          <w:rFonts w:eastAsia="Times New Roman"/>
        </w:rPr>
        <w:t>and a participant interface</w:t>
      </w:r>
      <w:r w:rsidR="00ED5916" w:rsidRPr="0035615A">
        <w:rPr>
          <w:rFonts w:eastAsia="Times New Roman"/>
        </w:rPr>
        <w:t>—</w:t>
      </w:r>
      <w:r w:rsidR="00ED5916">
        <w:rPr>
          <w:rFonts w:eastAsia="Times New Roman"/>
        </w:rPr>
        <w:t xml:space="preserve">where participants complete a mock grocery shopping trip that integrates the researchers’ choice </w:t>
      </w:r>
      <w:r w:rsidR="00E47093">
        <w:rPr>
          <w:rFonts w:eastAsia="Times New Roman"/>
        </w:rPr>
        <w:t xml:space="preserve">context </w:t>
      </w:r>
      <w:r w:rsidR="00ED5916">
        <w:rPr>
          <w:rFonts w:eastAsia="Times New Roman"/>
        </w:rPr>
        <w:t>changes. We will discuss each of these interfaces separately.</w:t>
      </w:r>
    </w:p>
    <w:p w14:paraId="162917C8" w14:textId="007FD85E" w:rsidR="00ED5916" w:rsidRDefault="00ED5916" w:rsidP="00E13149">
      <w:pPr>
        <w:spacing w:line="480" w:lineRule="auto"/>
        <w:rPr>
          <w:rFonts w:eastAsia="Times New Roman"/>
        </w:rPr>
      </w:pPr>
      <w:r>
        <w:rPr>
          <w:rFonts w:eastAsia="Times New Roman"/>
        </w:rPr>
        <w:tab/>
      </w:r>
      <w:r w:rsidRPr="00BD1606">
        <w:rPr>
          <w:rFonts w:eastAsia="Times New Roman"/>
          <w:b/>
          <w:bCs/>
        </w:rPr>
        <w:t xml:space="preserve">The </w:t>
      </w:r>
      <w:r w:rsidR="004C0E41" w:rsidRPr="00BD1606">
        <w:rPr>
          <w:rFonts w:eastAsia="Times New Roman"/>
          <w:b/>
          <w:bCs/>
        </w:rPr>
        <w:t>P</w:t>
      </w:r>
      <w:r w:rsidRPr="00BD1606">
        <w:rPr>
          <w:rFonts w:eastAsia="Times New Roman"/>
          <w:b/>
          <w:bCs/>
        </w:rPr>
        <w:t xml:space="preserve">articipant </w:t>
      </w:r>
      <w:r w:rsidR="004C0E41" w:rsidRPr="00BD1606">
        <w:rPr>
          <w:rFonts w:eastAsia="Times New Roman"/>
          <w:b/>
          <w:bCs/>
        </w:rPr>
        <w:t>I</w:t>
      </w:r>
      <w:r w:rsidRPr="00BD1606">
        <w:rPr>
          <w:rFonts w:eastAsia="Times New Roman"/>
          <w:b/>
          <w:bCs/>
        </w:rPr>
        <w:t>nterface</w:t>
      </w:r>
      <w:r>
        <w:rPr>
          <w:rFonts w:eastAsia="Times New Roman"/>
        </w:rPr>
        <w:t xml:space="preserve">. </w:t>
      </w:r>
      <w:r w:rsidR="006A342E">
        <w:rPr>
          <w:rFonts w:eastAsia="Times New Roman"/>
        </w:rPr>
        <w:t xml:space="preserve">The participant interface of OSOG looks </w:t>
      </w:r>
      <w:proofErr w:type="gramStart"/>
      <w:r w:rsidR="006A342E">
        <w:rPr>
          <w:rFonts w:eastAsia="Times New Roman"/>
        </w:rPr>
        <w:t>similar to</w:t>
      </w:r>
      <w:proofErr w:type="gramEnd"/>
      <w:r w:rsidR="006A342E">
        <w:rPr>
          <w:rFonts w:eastAsia="Times New Roman"/>
        </w:rPr>
        <w:t xml:space="preserve"> any other online grocery store that participants may be </w:t>
      </w:r>
      <w:r w:rsidR="009F5AED">
        <w:rPr>
          <w:rFonts w:eastAsia="Times New Roman"/>
        </w:rPr>
        <w:t>familiar with</w:t>
      </w:r>
      <w:r w:rsidR="006A342E">
        <w:rPr>
          <w:rFonts w:eastAsia="Times New Roman"/>
        </w:rPr>
        <w:t xml:space="preserve"> (e.g., Instacart, Amazon Fresh</w:t>
      </w:r>
      <w:r w:rsidR="009F5556">
        <w:rPr>
          <w:rFonts w:eastAsia="Times New Roman"/>
        </w:rPr>
        <w:t>; see Fig. 1</w:t>
      </w:r>
      <w:r w:rsidR="006A342E">
        <w:rPr>
          <w:rFonts w:eastAsia="Times New Roman"/>
        </w:rPr>
        <w:t xml:space="preserve">). </w:t>
      </w:r>
      <w:r w:rsidR="002B0ADC">
        <w:rPr>
          <w:rFonts w:eastAsia="Times New Roman"/>
        </w:rPr>
        <w:t>Currently, t</w:t>
      </w:r>
      <w:r w:rsidR="006A342E">
        <w:rPr>
          <w:rFonts w:eastAsia="Times New Roman"/>
        </w:rPr>
        <w:t xml:space="preserve">he grocery store is populated with </w:t>
      </w:r>
      <w:r w:rsidR="002B0ADC">
        <w:rPr>
          <w:rFonts w:eastAsia="Times New Roman"/>
        </w:rPr>
        <w:t>11</w:t>
      </w:r>
      <w:r w:rsidR="004C4715">
        <w:rPr>
          <w:rFonts w:eastAsia="Times New Roman"/>
        </w:rPr>
        <w:t>,</w:t>
      </w:r>
      <w:r w:rsidR="002B0ADC">
        <w:rPr>
          <w:rFonts w:eastAsia="Times New Roman"/>
        </w:rPr>
        <w:t>0</w:t>
      </w:r>
      <w:r w:rsidR="007D6433">
        <w:rPr>
          <w:rFonts w:eastAsia="Times New Roman"/>
        </w:rPr>
        <w:t>96</w:t>
      </w:r>
      <w:r w:rsidR="002B0ADC">
        <w:rPr>
          <w:rFonts w:eastAsia="Times New Roman"/>
        </w:rPr>
        <w:t xml:space="preserve"> products </w:t>
      </w:r>
      <w:r w:rsidR="00941941">
        <w:rPr>
          <w:rFonts w:eastAsia="Times New Roman"/>
        </w:rPr>
        <w:t xml:space="preserve">sourced </w:t>
      </w:r>
      <w:r w:rsidR="002B0ADC">
        <w:rPr>
          <w:rFonts w:eastAsia="Times New Roman"/>
        </w:rPr>
        <w:t xml:space="preserve">from the website of a large grocery retailer in the Southeastern United States in 2018. </w:t>
      </w:r>
      <w:r w:rsidR="00D30E3F">
        <w:rPr>
          <w:rFonts w:eastAsia="Times New Roman"/>
        </w:rPr>
        <w:t>The store</w:t>
      </w:r>
      <w:r w:rsidR="002B0ADC">
        <w:rPr>
          <w:rFonts w:eastAsia="Times New Roman"/>
        </w:rPr>
        <w:t xml:space="preserve"> include</w:t>
      </w:r>
      <w:r w:rsidR="00D30E3F">
        <w:rPr>
          <w:rFonts w:eastAsia="Times New Roman"/>
        </w:rPr>
        <w:t>s</w:t>
      </w:r>
      <w:r w:rsidR="002B0ADC">
        <w:rPr>
          <w:rFonts w:eastAsia="Times New Roman"/>
        </w:rPr>
        <w:t xml:space="preserve"> unbranded products (e.g., produce, meat, fish), ex</w:t>
      </w:r>
      <w:r w:rsidR="00030949">
        <w:rPr>
          <w:rFonts w:eastAsia="Times New Roman"/>
        </w:rPr>
        <w:t>tant</w:t>
      </w:r>
      <w:r w:rsidR="002B0ADC">
        <w:rPr>
          <w:rFonts w:eastAsia="Times New Roman"/>
        </w:rPr>
        <w:t xml:space="preserve"> branded products (e.g., Cheerios, Skippy), and a fictional store brand called Howe’s. Product offerings will likely expand as more researchers use the store. </w:t>
      </w:r>
    </w:p>
    <w:p w14:paraId="722AD8DE" w14:textId="20458D20" w:rsidR="00941941" w:rsidRDefault="00941941" w:rsidP="00E13149">
      <w:pPr>
        <w:spacing w:line="480" w:lineRule="auto"/>
        <w:rPr>
          <w:rFonts w:eastAsia="Times New Roman"/>
        </w:rPr>
      </w:pPr>
      <w:r>
        <w:rPr>
          <w:rFonts w:eastAsia="Times New Roman"/>
        </w:rPr>
        <w:tab/>
        <w:t xml:space="preserve">Researchers are also welcomed to expand and update the product offerings in OSOG. For example, researchers with some coding experience could use the original OSOG code to create a version of OSOG using product information sourced from a variety of different sources. For example, </w:t>
      </w:r>
      <w:proofErr w:type="spellStart"/>
      <w:r>
        <w:rPr>
          <w:rFonts w:eastAsia="Times New Roman"/>
        </w:rPr>
        <w:t>OpenFoodFacts</w:t>
      </w:r>
      <w:proofErr w:type="spellEnd"/>
      <w:r>
        <w:rPr>
          <w:rFonts w:eastAsia="Times New Roman"/>
        </w:rPr>
        <w:t xml:space="preserve"> (</w:t>
      </w:r>
      <w:hyperlink r:id="rId6" w:history="1">
        <w:r w:rsidRPr="00C62975">
          <w:rPr>
            <w:rStyle w:val="Hyperlink"/>
            <w:rFonts w:eastAsia="Times New Roman"/>
          </w:rPr>
          <w:t>https://world.openfoodfacts.org</w:t>
        </w:r>
      </w:hyperlink>
      <w:r>
        <w:rPr>
          <w:rFonts w:eastAsia="Times New Roman"/>
        </w:rPr>
        <w:t xml:space="preserve">) contains information (i.e., photograph, nutritional information, ingredients) from 660,000 products from around the world. Similarly, researchers could pull products from </w:t>
      </w:r>
      <w:proofErr w:type="spellStart"/>
      <w:r>
        <w:rPr>
          <w:rFonts w:eastAsia="Times New Roman"/>
        </w:rPr>
        <w:t>FoodDB</w:t>
      </w:r>
      <w:proofErr w:type="spellEnd"/>
      <w:r>
        <w:rPr>
          <w:rFonts w:eastAsia="Times New Roman"/>
        </w:rPr>
        <w:t xml:space="preserve"> (a database of all products available in </w:t>
      </w:r>
      <w:r>
        <w:rPr>
          <w:rFonts w:eastAsia="Times New Roman"/>
        </w:rPr>
        <w:lastRenderedPageBreak/>
        <w:t>UK supermarkets</w:t>
      </w:r>
      <w:r w:rsidR="00B20C1A">
        <w:rPr>
          <w:rFonts w:eastAsia="Times New Roman"/>
        </w:rPr>
        <w:t>;</w:t>
      </w:r>
      <w:r w:rsidR="00B6773C">
        <w:rPr>
          <w:rFonts w:eastAsia="Times New Roman"/>
        </w:rPr>
        <w:t xml:space="preserve"> </w:t>
      </w:r>
      <w:r w:rsidR="00B6773C">
        <w:rPr>
          <w:rFonts w:eastAsia="Times New Roman"/>
        </w:rPr>
        <w:fldChar w:fldCharType="begin" w:fldLock="1"/>
      </w:r>
      <w:r w:rsidR="00A20060">
        <w:rPr>
          <w:rFonts w:eastAsia="Times New Roman"/>
        </w:rPr>
        <w:instrText>ADDIN CSL_CITATION {"citationItems":[{"id":"ITEM-1","itemData":{"DOI":"10.1136/bmjopen-2018-026652","ISSN":"20446055","PMID":"31253615","abstract":"Objectives: Traditional methods for creating food composition tables struggle to cope with the large number of products and the rapid pace of change in the food and drink marketplace. This paper introduces foodDB, a big data approach to the analysis of this marketplace, and presents analyses illustrating its research potential. Design: foodDB has been used to collect data weekly on all foods and drinks available on six major UK supermarket websites since November 2017. As of June 2018, foodDB has 3 193 171 observations of 128 283 distinct food and drink products measured at multiple timepoints. Methods: Weekly extraction of nutrition and availability data of products was extracted from the webpages of the supermarket websites. This process was automated with a codebase written in Python. Results: Analyses using a single weekly timepoint of 97 368 total products in March 2018 identified 2699 ready meals and pizzas, and showed that lower price ready meals had significantly lower levels of fat, saturates, sugar and salt (p&lt;0.001). Longitudinal analyses of 903 pizzas revealed that 10.8% changed their nutritional formulation over 6 months, and 29.9% were either discontinued or new market entries. Conclusions: foodDB is a powerful new tool for monitoring the food and drink marketplace, the comprehensive sampling and granularity of collection provides power for revealing analyses of the relationship between nutritional quality and marketing of branded foods, timely observation of product reformulation and other changes to the food marketplace.","author":[{"dropping-particle":"","family":"Harrington","given":"Richard Andrew","non-dropping-particle":"","parse-names":false,"suffix":""},{"dropping-particle":"","family":"Adhikari","given":"Vyas","non-dropping-particle":"","parse-names":false,"suffix":""},{"dropping-particle":"","family":"Rayner","given":"Mike","non-dropping-particle":"","parse-names":false,"suffix":""},{"dropping-particle":"","family":"Scarborough","given":"Peter","non-dropping-particle":"","parse-names":false,"suffix":""}],"container-title":"BMJ Open","id":"ITEM-1","issue":"6","issued":{"date-parts":[["2019"]]},"page":"1-10","title":"Nutrient composition databases in the age of big data: FoodDB, a comprehensive, real-time database infrastructure","type":"article-journal","volume":"9"},"uris":["http://www.mendeley.com/documents/?uuid=68f1a164-71e5-4b95-af53-fc8479a829a6"]}],"mendeley":{"formattedCitation":"(Harrington et al. 2019)","manualFormatting":"Harrington et al. 2019)","plainTextFormattedCitation":"(Harrington et al. 2019)","previouslyFormattedCitation":"(Harrington et al. 2019)"},"properties":{"noteIndex":0},"schema":"https://github.com/citation-style-language/schema/raw/master/csl-citation.json"}</w:instrText>
      </w:r>
      <w:r w:rsidR="00B6773C">
        <w:rPr>
          <w:rFonts w:eastAsia="Times New Roman"/>
        </w:rPr>
        <w:fldChar w:fldCharType="separate"/>
      </w:r>
      <w:r w:rsidR="00B6773C" w:rsidRPr="00B6773C">
        <w:rPr>
          <w:rFonts w:eastAsia="Times New Roman"/>
          <w:noProof/>
        </w:rPr>
        <w:t>Harrington et al. 2019)</w:t>
      </w:r>
      <w:r w:rsidR="00B6773C">
        <w:rPr>
          <w:rFonts w:eastAsia="Times New Roman"/>
        </w:rPr>
        <w:fldChar w:fldCharType="end"/>
      </w:r>
      <w:r w:rsidR="00B6773C">
        <w:rPr>
          <w:rFonts w:eastAsia="Times New Roman"/>
        </w:rPr>
        <w:t xml:space="preserve"> or </w:t>
      </w:r>
      <w:proofErr w:type="spellStart"/>
      <w:r w:rsidR="00200613">
        <w:rPr>
          <w:rFonts w:eastAsia="Times New Roman"/>
        </w:rPr>
        <w:t>Ciqual</w:t>
      </w:r>
      <w:proofErr w:type="spellEnd"/>
      <w:r w:rsidR="00200613">
        <w:rPr>
          <w:rFonts w:eastAsia="Times New Roman"/>
        </w:rPr>
        <w:t xml:space="preserve"> (a database </w:t>
      </w:r>
      <w:r w:rsidR="00E52648">
        <w:rPr>
          <w:rFonts w:eastAsia="Times New Roman"/>
        </w:rPr>
        <w:t>containing nutrition information for unprocessed and prepared foods</w:t>
      </w:r>
      <w:r w:rsidR="00200613">
        <w:rPr>
          <w:rFonts w:eastAsia="Times New Roman"/>
        </w:rPr>
        <w:t xml:space="preserve">; </w:t>
      </w:r>
      <w:hyperlink r:id="rId7" w:history="1">
        <w:r w:rsidR="00200613" w:rsidRPr="00C62975">
          <w:rPr>
            <w:rStyle w:val="Hyperlink"/>
            <w:rFonts w:eastAsia="Times New Roman"/>
          </w:rPr>
          <w:t>https://ciqual.anses.fr/</w:t>
        </w:r>
      </w:hyperlink>
      <w:r w:rsidR="00200613">
        <w:rPr>
          <w:rFonts w:eastAsia="Times New Roman"/>
        </w:rPr>
        <w:t xml:space="preserve">). </w:t>
      </w:r>
    </w:p>
    <w:p w14:paraId="7EF651EA" w14:textId="53B81B57" w:rsidR="00647EE6" w:rsidRDefault="00647EE6" w:rsidP="00E13149">
      <w:pPr>
        <w:spacing w:line="480" w:lineRule="auto"/>
        <w:rPr>
          <w:rFonts w:eastAsia="Times New Roman"/>
        </w:rPr>
      </w:pPr>
      <w:r>
        <w:rPr>
          <w:rFonts w:eastAsia="Times New Roman"/>
        </w:rPr>
        <w:tab/>
        <w:t>For each product in the store, we s</w:t>
      </w:r>
      <w:r w:rsidR="00E37939">
        <w:rPr>
          <w:rFonts w:eastAsia="Times New Roman"/>
        </w:rPr>
        <w:t>ourced</w:t>
      </w:r>
      <w:r>
        <w:rPr>
          <w:rFonts w:eastAsia="Times New Roman"/>
        </w:rPr>
        <w:t xml:space="preserve"> price, product size, serving size, nutrition information, ingredients,</w:t>
      </w:r>
      <w:r w:rsidR="00D053A0">
        <w:rPr>
          <w:rFonts w:eastAsia="Times New Roman"/>
        </w:rPr>
        <w:t xml:space="preserve"> a photograph of the product,</w:t>
      </w:r>
      <w:r>
        <w:rPr>
          <w:rFonts w:eastAsia="Times New Roman"/>
        </w:rPr>
        <w:t xml:space="preserve"> and manufacturer’s product description</w:t>
      </w:r>
      <w:r w:rsidR="00C1430B">
        <w:rPr>
          <w:rFonts w:eastAsia="Times New Roman"/>
        </w:rPr>
        <w:t xml:space="preserve"> (where applicable)</w:t>
      </w:r>
      <w:r>
        <w:rPr>
          <w:rFonts w:eastAsia="Times New Roman"/>
        </w:rPr>
        <w:t xml:space="preserve">. </w:t>
      </w:r>
      <w:r w:rsidR="00C1430B">
        <w:rPr>
          <w:rFonts w:eastAsia="Times New Roman"/>
        </w:rPr>
        <w:t xml:space="preserve">Please note that the FDA does not require manufacturers to list certain micro- and macro-nutrients on product labels (e.g., Vitamin C, monounsaturated fat, Calcium) and so the database does not contain complete information on these nutrients. </w:t>
      </w:r>
    </w:p>
    <w:p w14:paraId="404658F2" w14:textId="7E3ABFF3" w:rsidR="00D053A0" w:rsidRDefault="00D053A0" w:rsidP="00E13149">
      <w:pPr>
        <w:spacing w:line="480" w:lineRule="auto"/>
        <w:rPr>
          <w:rFonts w:eastAsia="Times New Roman"/>
        </w:rPr>
      </w:pPr>
      <w:r>
        <w:rPr>
          <w:rFonts w:eastAsia="Times New Roman"/>
        </w:rPr>
        <w:tab/>
        <w:t>On the main page of the grocery store</w:t>
      </w:r>
      <w:r w:rsidR="00761A05">
        <w:rPr>
          <w:rFonts w:eastAsia="Times New Roman"/>
        </w:rPr>
        <w:t>,</w:t>
      </w:r>
      <w:r>
        <w:rPr>
          <w:rFonts w:eastAsia="Times New Roman"/>
        </w:rPr>
        <w:t xml:space="preserve"> participants see an overview of the available products: product photographs, names, sizes, prices, and any front-of-package labels the researcher specifies. If participants click on a product, they see more information including the nutrition facts label, the ingredients, and the manufacturer’s description. </w:t>
      </w:r>
      <w:r w:rsidR="00D4645C">
        <w:rPr>
          <w:rFonts w:eastAsia="Times New Roman"/>
        </w:rPr>
        <w:t xml:space="preserve">Unless the researcher specifies otherwise, participants can add products to their cart from either the product overview page </w:t>
      </w:r>
      <w:r w:rsidR="009F5AED">
        <w:rPr>
          <w:rFonts w:eastAsia="Times New Roman"/>
        </w:rPr>
        <w:t>or</w:t>
      </w:r>
      <w:r w:rsidR="00D4645C">
        <w:rPr>
          <w:rFonts w:eastAsia="Times New Roman"/>
        </w:rPr>
        <w:t xml:space="preserve"> the detailed product information page. </w:t>
      </w:r>
      <w:r>
        <w:rPr>
          <w:rFonts w:eastAsia="Times New Roman"/>
        </w:rPr>
        <w:t xml:space="preserve"> </w:t>
      </w:r>
    </w:p>
    <w:p w14:paraId="4DE71D00" w14:textId="5171943B" w:rsidR="002B0ADC" w:rsidRDefault="002B0ADC" w:rsidP="00E13149">
      <w:pPr>
        <w:spacing w:line="480" w:lineRule="auto"/>
        <w:rPr>
          <w:rFonts w:eastAsia="Times New Roman"/>
        </w:rPr>
      </w:pPr>
      <w:r>
        <w:rPr>
          <w:rFonts w:eastAsia="Times New Roman"/>
        </w:rPr>
        <w:tab/>
        <w:t xml:space="preserve">Participants can browse products by using a navigational menu at the top of the screen. The navigational menu includes nine built-in categories (i.e., produce; meat, </w:t>
      </w:r>
      <w:proofErr w:type="gramStart"/>
      <w:r>
        <w:rPr>
          <w:rFonts w:eastAsia="Times New Roman"/>
        </w:rPr>
        <w:t>dairy</w:t>
      </w:r>
      <w:proofErr w:type="gramEnd"/>
      <w:r>
        <w:rPr>
          <w:rFonts w:eastAsia="Times New Roman"/>
        </w:rPr>
        <w:t xml:space="preserve"> and eggs; bakery, pasta and grains; dry goods, breakfast and spices; pantry; canned; snacks; beverages; frozen foods)</w:t>
      </w:r>
      <w:r w:rsidR="009F5AED">
        <w:rPr>
          <w:rFonts w:eastAsia="Times New Roman"/>
        </w:rPr>
        <w:t>, each with related subcategories.</w:t>
      </w:r>
      <w:r>
        <w:rPr>
          <w:rFonts w:eastAsia="Times New Roman"/>
        </w:rPr>
        <w:t xml:space="preserve"> </w:t>
      </w:r>
      <w:r w:rsidR="009F5AED">
        <w:rPr>
          <w:rFonts w:eastAsia="Times New Roman"/>
        </w:rPr>
        <w:t>Participants can also</w:t>
      </w:r>
      <w:r w:rsidR="00D46D6B">
        <w:rPr>
          <w:rFonts w:eastAsia="Times New Roman"/>
        </w:rPr>
        <w:t xml:space="preserve"> directly</w:t>
      </w:r>
      <w:r w:rsidR="009F5AED">
        <w:rPr>
          <w:rFonts w:eastAsia="Times New Roman"/>
        </w:rPr>
        <w:t xml:space="preserve"> search for products by name. </w:t>
      </w:r>
    </w:p>
    <w:p w14:paraId="766C089C" w14:textId="7CE8F3B3" w:rsidR="009F5AED" w:rsidRDefault="009F5AED" w:rsidP="00E13149">
      <w:pPr>
        <w:spacing w:line="480" w:lineRule="auto"/>
        <w:rPr>
          <w:rFonts w:eastAsia="Times New Roman"/>
        </w:rPr>
      </w:pPr>
      <w:r>
        <w:rPr>
          <w:rFonts w:eastAsia="Times New Roman"/>
        </w:rPr>
        <w:tab/>
        <w:t>Participants view their cart and check out by clicking a</w:t>
      </w:r>
      <w:r w:rsidR="00946715">
        <w:rPr>
          <w:rFonts w:eastAsia="Times New Roman"/>
        </w:rPr>
        <w:t xml:space="preserve"> cart</w:t>
      </w:r>
      <w:r>
        <w:rPr>
          <w:rFonts w:eastAsia="Times New Roman"/>
        </w:rPr>
        <w:t xml:space="preserve"> icon. On the cart summary screen, participants view all the products in their cart,</w:t>
      </w:r>
      <w:r w:rsidR="00A477AF">
        <w:rPr>
          <w:rFonts w:eastAsia="Times New Roman"/>
        </w:rPr>
        <w:t xml:space="preserve"> the price of each item,</w:t>
      </w:r>
      <w:r>
        <w:rPr>
          <w:rFonts w:eastAsia="Times New Roman"/>
        </w:rPr>
        <w:t xml:space="preserve"> the before-tax cart total, </w:t>
      </w:r>
      <w:r w:rsidR="00A477AF">
        <w:rPr>
          <w:rFonts w:eastAsia="Times New Roman"/>
        </w:rPr>
        <w:t>the tax amount (7.5%)</w:t>
      </w:r>
      <w:r w:rsidR="00D30E3F">
        <w:rPr>
          <w:rFonts w:eastAsia="Times New Roman"/>
        </w:rPr>
        <w:t>,</w:t>
      </w:r>
      <w:r w:rsidR="00A477AF">
        <w:rPr>
          <w:rFonts w:eastAsia="Times New Roman"/>
        </w:rPr>
        <w:t xml:space="preserve"> the total price</w:t>
      </w:r>
      <w:r w:rsidR="00D30E3F">
        <w:rPr>
          <w:rFonts w:eastAsia="Times New Roman"/>
        </w:rPr>
        <w:t>, and any other information the researcher chooses to include</w:t>
      </w:r>
      <w:r w:rsidR="00A477AF">
        <w:rPr>
          <w:rFonts w:eastAsia="Times New Roman"/>
        </w:rPr>
        <w:t xml:space="preserve">. </w:t>
      </w:r>
    </w:p>
    <w:p w14:paraId="3A03E88A" w14:textId="17B40228" w:rsidR="003A022A" w:rsidRDefault="00C15DF8" w:rsidP="00C15DF8">
      <w:pPr>
        <w:spacing w:line="480" w:lineRule="auto"/>
        <w:ind w:firstLine="720"/>
        <w:rPr>
          <w:rFonts w:eastAsia="Times New Roman"/>
        </w:rPr>
      </w:pPr>
      <w:r w:rsidRPr="00B20C1A">
        <w:rPr>
          <w:rFonts w:eastAsia="Times New Roman"/>
          <w:b/>
          <w:bCs/>
          <w:i/>
          <w:iCs/>
        </w:rPr>
        <w:lastRenderedPageBreak/>
        <w:t xml:space="preserve">Data Privacy. </w:t>
      </w:r>
      <w:r w:rsidR="00B8719D">
        <w:rPr>
          <w:rFonts w:eastAsia="Times New Roman"/>
        </w:rPr>
        <w:t>OSOG does not collect any identifiable information that is linked with participants’ responses. When participants enter the store, they are prompted to enter their session ID. Session IDs are provided by the researcher and may</w:t>
      </w:r>
      <w:r w:rsidR="003A022A">
        <w:rPr>
          <w:rFonts w:eastAsia="Times New Roman"/>
        </w:rPr>
        <w:t xml:space="preserve"> </w:t>
      </w:r>
      <w:r w:rsidR="00B20C1A">
        <w:rPr>
          <w:rFonts w:eastAsia="Times New Roman"/>
        </w:rPr>
        <w:t xml:space="preserve">be </w:t>
      </w:r>
      <w:r w:rsidR="00B8719D">
        <w:rPr>
          <w:rFonts w:eastAsia="Times New Roman"/>
        </w:rPr>
        <w:t>unique</w:t>
      </w:r>
      <w:r w:rsidR="00B20C1A">
        <w:rPr>
          <w:rFonts w:eastAsia="Times New Roman"/>
        </w:rPr>
        <w:t xml:space="preserve"> to each</w:t>
      </w:r>
      <w:r w:rsidR="00B8719D">
        <w:rPr>
          <w:rFonts w:eastAsia="Times New Roman"/>
        </w:rPr>
        <w:t xml:space="preserve"> participant (like a participant ID). All the participant’s actions in the store are recorded under their session ID. Researchers who need to link participants’ actions in the store to survey or demographic responses should encourage participants to use the same ID in the store as in a Qualtrics survey.</w:t>
      </w:r>
    </w:p>
    <w:p w14:paraId="0FDA1CEE" w14:textId="6EF46341" w:rsidR="00C15DF8" w:rsidRDefault="003A022A" w:rsidP="00C15DF8">
      <w:pPr>
        <w:spacing w:line="480" w:lineRule="auto"/>
        <w:ind w:firstLine="720"/>
        <w:rPr>
          <w:rFonts w:eastAsia="Times New Roman"/>
        </w:rPr>
      </w:pPr>
      <w:r>
        <w:rPr>
          <w:rFonts w:eastAsia="Times New Roman"/>
        </w:rPr>
        <w:t xml:space="preserve">All participant actions are recorded and kept indefinitely. The researcher could choose to delete the data from the server by deleting the entire experiment.  </w:t>
      </w:r>
    </w:p>
    <w:p w14:paraId="65F15FDD" w14:textId="3C074992" w:rsidR="00B8719D" w:rsidRDefault="00B8719D" w:rsidP="00C15DF8">
      <w:pPr>
        <w:spacing w:line="480" w:lineRule="auto"/>
        <w:ind w:firstLine="720"/>
        <w:rPr>
          <w:rFonts w:eastAsia="Times New Roman"/>
        </w:rPr>
      </w:pPr>
      <w:r>
        <w:rPr>
          <w:rFonts w:eastAsia="Times New Roman"/>
        </w:rPr>
        <w:t xml:space="preserve">As is the case on </w:t>
      </w:r>
      <w:proofErr w:type="gramStart"/>
      <w:r>
        <w:rPr>
          <w:rFonts w:eastAsia="Times New Roman"/>
        </w:rPr>
        <w:t>the vast majority of</w:t>
      </w:r>
      <w:proofErr w:type="gramEnd"/>
      <w:r>
        <w:rPr>
          <w:rFonts w:eastAsia="Times New Roman"/>
        </w:rPr>
        <w:t xml:space="preserve"> websites, the IP address of all web visitors to OSOG are automatically logged in the web servers that run the store. This information is not made available to researchers. IP addresses are not linked to participants’ actions in the store and are automatically deleted every 30 days. In other words, although it is necessary to collect IP addresses, this information is never made available to researchers. In the </w:t>
      </w:r>
      <w:r w:rsidR="00097F30">
        <w:rPr>
          <w:rFonts w:eastAsia="Times New Roman"/>
        </w:rPr>
        <w:t xml:space="preserve">unlikely </w:t>
      </w:r>
      <w:r>
        <w:rPr>
          <w:rFonts w:eastAsia="Times New Roman"/>
        </w:rPr>
        <w:t xml:space="preserve">case of a data breach, </w:t>
      </w:r>
      <w:r w:rsidR="0069747D">
        <w:rPr>
          <w:rFonts w:eastAsia="Times New Roman"/>
        </w:rPr>
        <w:t>hackers would have access to IP addresses</w:t>
      </w:r>
      <w:r w:rsidR="002373A9">
        <w:rPr>
          <w:rFonts w:eastAsia="Times New Roman"/>
        </w:rPr>
        <w:t xml:space="preserve"> from the past 30 </w:t>
      </w:r>
      <w:proofErr w:type="gramStart"/>
      <w:r w:rsidR="002373A9">
        <w:rPr>
          <w:rFonts w:eastAsia="Times New Roman"/>
        </w:rPr>
        <w:t>days</w:t>
      </w:r>
      <w:r w:rsidR="0069747D">
        <w:rPr>
          <w:rFonts w:eastAsia="Times New Roman"/>
        </w:rPr>
        <w:t>, but</w:t>
      </w:r>
      <w:proofErr w:type="gramEnd"/>
      <w:r w:rsidR="0069747D">
        <w:rPr>
          <w:rFonts w:eastAsia="Times New Roman"/>
        </w:rPr>
        <w:t xml:space="preserve"> would not be able to link them to any given experimental procedure or any participant actions. </w:t>
      </w:r>
    </w:p>
    <w:p w14:paraId="6D3EE7A9" w14:textId="77777777" w:rsidR="00B8719D" w:rsidRPr="00B8719D" w:rsidRDefault="00B8719D" w:rsidP="00B20C1A">
      <w:pPr>
        <w:spacing w:line="480" w:lineRule="auto"/>
        <w:ind w:firstLine="720"/>
        <w:rPr>
          <w:rFonts w:eastAsia="Times New Roman"/>
        </w:rPr>
      </w:pPr>
    </w:p>
    <w:p w14:paraId="3C3CF45A" w14:textId="3F272528" w:rsidR="009F5556" w:rsidRDefault="009F5556" w:rsidP="00E13149">
      <w:pPr>
        <w:spacing w:line="480" w:lineRule="auto"/>
        <w:rPr>
          <w:rFonts w:eastAsia="Times New Roman"/>
        </w:rPr>
      </w:pPr>
      <w:r w:rsidRPr="009F5556">
        <w:rPr>
          <w:rFonts w:eastAsia="Times New Roman"/>
          <w:noProof/>
        </w:rPr>
        <w:lastRenderedPageBreak/>
        <w:drawing>
          <wp:inline distT="0" distB="0" distL="0" distR="0" wp14:anchorId="49D40B04" wp14:editId="1C107A0E">
            <wp:extent cx="5943600" cy="2708275"/>
            <wp:effectExtent l="0" t="0" r="0" b="0"/>
            <wp:docPr id="4" name="Picture 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with medium confidence"/>
                    <pic:cNvPicPr/>
                  </pic:nvPicPr>
                  <pic:blipFill>
                    <a:blip r:embed="rId8"/>
                    <a:stretch>
                      <a:fillRect/>
                    </a:stretch>
                  </pic:blipFill>
                  <pic:spPr>
                    <a:xfrm>
                      <a:off x="0" y="0"/>
                      <a:ext cx="5943600" cy="2708275"/>
                    </a:xfrm>
                    <a:prstGeom prst="rect">
                      <a:avLst/>
                    </a:prstGeom>
                  </pic:spPr>
                </pic:pic>
              </a:graphicData>
            </a:graphic>
          </wp:inline>
        </w:drawing>
      </w:r>
    </w:p>
    <w:p w14:paraId="5BC9409A" w14:textId="18A092C5" w:rsidR="009F5556" w:rsidRDefault="009F5556" w:rsidP="00E13149">
      <w:pPr>
        <w:spacing w:line="480" w:lineRule="auto"/>
        <w:rPr>
          <w:rFonts w:eastAsia="Times New Roman"/>
        </w:rPr>
      </w:pPr>
      <w:r w:rsidRPr="0088709E">
        <w:rPr>
          <w:rFonts w:eastAsia="Times New Roman"/>
          <w:i/>
          <w:iCs/>
        </w:rPr>
        <w:t>Figure 1</w:t>
      </w:r>
      <w:r>
        <w:rPr>
          <w:rFonts w:eastAsia="Times New Roman"/>
        </w:rPr>
        <w:t>. The participant interface of the Open Science Online Grocery</w:t>
      </w:r>
    </w:p>
    <w:p w14:paraId="0EC0428F" w14:textId="5D04437F" w:rsidR="008F3C6F" w:rsidRDefault="00A477AF" w:rsidP="00E13149">
      <w:pPr>
        <w:spacing w:line="480" w:lineRule="auto"/>
        <w:rPr>
          <w:rFonts w:eastAsia="Times New Roman"/>
        </w:rPr>
      </w:pPr>
      <w:r>
        <w:rPr>
          <w:rFonts w:eastAsia="Times New Roman"/>
        </w:rPr>
        <w:tab/>
      </w:r>
      <w:r w:rsidRPr="00BD1606">
        <w:rPr>
          <w:rFonts w:eastAsia="Times New Roman"/>
          <w:b/>
          <w:bCs/>
        </w:rPr>
        <w:t>The Researcher Interface</w:t>
      </w:r>
      <w:r>
        <w:rPr>
          <w:rFonts w:eastAsia="Times New Roman"/>
        </w:rPr>
        <w:t xml:space="preserve">. The researcher interface is a point-and-click interface that allows researchers to easily modify the choice </w:t>
      </w:r>
      <w:r w:rsidR="00981701">
        <w:rPr>
          <w:rFonts w:eastAsia="Times New Roman"/>
        </w:rPr>
        <w:t xml:space="preserve">context </w:t>
      </w:r>
      <w:r>
        <w:rPr>
          <w:rFonts w:eastAsia="Times New Roman"/>
        </w:rPr>
        <w:t>of the st</w:t>
      </w:r>
      <w:r w:rsidRPr="0088709E">
        <w:rPr>
          <w:rFonts w:eastAsia="Times New Roman"/>
        </w:rPr>
        <w:t xml:space="preserve">ore. Table </w:t>
      </w:r>
      <w:r w:rsidR="009F5556" w:rsidRPr="0088709E">
        <w:rPr>
          <w:rFonts w:eastAsia="Times New Roman"/>
        </w:rPr>
        <w:t>1</w:t>
      </w:r>
      <w:r w:rsidRPr="0088709E">
        <w:rPr>
          <w:rFonts w:eastAsia="Times New Roman"/>
        </w:rPr>
        <w:t xml:space="preserve"> lists</w:t>
      </w:r>
      <w:r>
        <w:rPr>
          <w:rFonts w:eastAsia="Times New Roman"/>
        </w:rPr>
        <w:t xml:space="preserve"> all the </w:t>
      </w:r>
      <w:r w:rsidR="00242A8E">
        <w:rPr>
          <w:rFonts w:eastAsia="Times New Roman"/>
        </w:rPr>
        <w:t xml:space="preserve">currently </w:t>
      </w:r>
      <w:r>
        <w:rPr>
          <w:rFonts w:eastAsia="Times New Roman"/>
        </w:rPr>
        <w:t xml:space="preserve">modifiable </w:t>
      </w:r>
      <w:r w:rsidR="00242A8E">
        <w:rPr>
          <w:rFonts w:eastAsia="Times New Roman"/>
        </w:rPr>
        <w:t>components of the store.</w:t>
      </w:r>
      <w:r w:rsidR="00D30E3F">
        <w:rPr>
          <w:rFonts w:eastAsia="Times New Roman"/>
        </w:rPr>
        <w:t xml:space="preserve"> These components can be modified separately or in conjunction with one another. </w:t>
      </w:r>
      <w:r w:rsidR="008F3C6F">
        <w:rPr>
          <w:rFonts w:eastAsia="Times New Roman"/>
        </w:rPr>
        <w:t xml:space="preserve">It is our hope that the capabilities of OSOG expand over time as more researchers use the platform and develop code to meet their specific needs.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7236"/>
      </w:tblGrid>
      <w:tr w:rsidR="00242A8E" w14:paraId="651DC1A7" w14:textId="77777777" w:rsidTr="0088709E">
        <w:tc>
          <w:tcPr>
            <w:tcW w:w="9350" w:type="dxa"/>
            <w:gridSpan w:val="2"/>
            <w:tcBorders>
              <w:bottom w:val="single" w:sz="4" w:space="0" w:color="auto"/>
            </w:tcBorders>
          </w:tcPr>
          <w:p w14:paraId="48F8192A" w14:textId="079E347C" w:rsidR="008F3C6F" w:rsidRPr="0088709E" w:rsidRDefault="008F3C6F" w:rsidP="00242A8E">
            <w:pPr>
              <w:rPr>
                <w:rFonts w:eastAsia="Times New Roman"/>
                <w:b/>
                <w:bCs/>
              </w:rPr>
            </w:pPr>
            <w:r w:rsidRPr="0088709E">
              <w:rPr>
                <w:rFonts w:eastAsia="Times New Roman"/>
                <w:b/>
                <w:bCs/>
              </w:rPr>
              <w:t xml:space="preserve">Table </w:t>
            </w:r>
            <w:r w:rsidR="0088709E" w:rsidRPr="0088709E">
              <w:rPr>
                <w:rFonts w:eastAsia="Times New Roman"/>
                <w:b/>
                <w:bCs/>
              </w:rPr>
              <w:t>1</w:t>
            </w:r>
            <w:r w:rsidR="0088709E">
              <w:rPr>
                <w:rFonts w:eastAsia="Times New Roman"/>
                <w:b/>
                <w:bCs/>
              </w:rPr>
              <w:t xml:space="preserve">. </w:t>
            </w:r>
            <w:r w:rsidRPr="0088709E">
              <w:rPr>
                <w:rFonts w:eastAsia="Times New Roman"/>
              </w:rPr>
              <w:t xml:space="preserve">The modifiable choice </w:t>
            </w:r>
            <w:r w:rsidR="00981701">
              <w:rPr>
                <w:rFonts w:eastAsia="Times New Roman"/>
              </w:rPr>
              <w:t>context</w:t>
            </w:r>
            <w:r w:rsidR="00981701" w:rsidRPr="0088709E">
              <w:rPr>
                <w:rFonts w:eastAsia="Times New Roman"/>
              </w:rPr>
              <w:t xml:space="preserve"> </w:t>
            </w:r>
            <w:r w:rsidRPr="0088709E">
              <w:rPr>
                <w:rFonts w:eastAsia="Times New Roman"/>
              </w:rPr>
              <w:t>components of OSOG.</w:t>
            </w:r>
            <w:r>
              <w:rPr>
                <w:rFonts w:eastAsia="Times New Roman"/>
                <w:i/>
                <w:iCs/>
              </w:rPr>
              <w:t xml:space="preserve"> </w:t>
            </w:r>
          </w:p>
          <w:p w14:paraId="3CCED067" w14:textId="68922090" w:rsidR="0088709E" w:rsidRPr="008F3C6F" w:rsidRDefault="0088709E" w:rsidP="00242A8E">
            <w:pPr>
              <w:rPr>
                <w:rFonts w:eastAsia="Times New Roman"/>
                <w:i/>
                <w:iCs/>
              </w:rPr>
            </w:pPr>
          </w:p>
        </w:tc>
      </w:tr>
      <w:tr w:rsidR="00242A8E" w14:paraId="3BFD5A05" w14:textId="77777777" w:rsidTr="0088709E">
        <w:tc>
          <w:tcPr>
            <w:tcW w:w="2335" w:type="dxa"/>
            <w:tcBorders>
              <w:top w:val="single" w:sz="4" w:space="0" w:color="auto"/>
              <w:bottom w:val="single" w:sz="4" w:space="0" w:color="auto"/>
            </w:tcBorders>
          </w:tcPr>
          <w:p w14:paraId="419B1363" w14:textId="10690DC2" w:rsidR="00242A8E" w:rsidRDefault="00242A8E" w:rsidP="00597359">
            <w:pPr>
              <w:jc w:val="center"/>
              <w:rPr>
                <w:rFonts w:eastAsia="Times New Roman"/>
              </w:rPr>
            </w:pPr>
            <w:r>
              <w:rPr>
                <w:rFonts w:eastAsia="Times New Roman"/>
              </w:rPr>
              <w:t>Component</w:t>
            </w:r>
          </w:p>
        </w:tc>
        <w:tc>
          <w:tcPr>
            <w:tcW w:w="7015" w:type="dxa"/>
            <w:tcBorders>
              <w:top w:val="single" w:sz="4" w:space="0" w:color="auto"/>
              <w:bottom w:val="single" w:sz="4" w:space="0" w:color="auto"/>
            </w:tcBorders>
          </w:tcPr>
          <w:p w14:paraId="75439022" w14:textId="540624D4" w:rsidR="00242A8E" w:rsidRDefault="00242A8E" w:rsidP="00597359">
            <w:pPr>
              <w:jc w:val="center"/>
              <w:rPr>
                <w:rFonts w:eastAsia="Times New Roman"/>
              </w:rPr>
            </w:pPr>
            <w:r>
              <w:rPr>
                <w:rFonts w:eastAsia="Times New Roman"/>
              </w:rPr>
              <w:t>Available Modifications</w:t>
            </w:r>
          </w:p>
        </w:tc>
      </w:tr>
      <w:tr w:rsidR="00242A8E" w14:paraId="3F4AD8EE" w14:textId="77777777" w:rsidTr="00597359">
        <w:tc>
          <w:tcPr>
            <w:tcW w:w="2335" w:type="dxa"/>
            <w:tcBorders>
              <w:top w:val="single" w:sz="4" w:space="0" w:color="auto"/>
            </w:tcBorders>
          </w:tcPr>
          <w:p w14:paraId="01733A6D" w14:textId="4BF0A074" w:rsidR="00242A8E" w:rsidRDefault="00242A8E" w:rsidP="00242A8E">
            <w:pPr>
              <w:rPr>
                <w:rFonts w:eastAsia="Times New Roman"/>
              </w:rPr>
            </w:pPr>
            <w:r>
              <w:rPr>
                <w:rFonts w:eastAsia="Times New Roman"/>
              </w:rPr>
              <w:t xml:space="preserve">Front-of-Package (FOP) </w:t>
            </w:r>
            <w:r w:rsidR="00710ED1">
              <w:rPr>
                <w:rFonts w:eastAsia="Times New Roman"/>
              </w:rPr>
              <w:t>Labeling</w:t>
            </w:r>
          </w:p>
        </w:tc>
        <w:tc>
          <w:tcPr>
            <w:tcW w:w="7015" w:type="dxa"/>
            <w:tcBorders>
              <w:top w:val="single" w:sz="4" w:space="0" w:color="auto"/>
            </w:tcBorders>
          </w:tcPr>
          <w:p w14:paraId="0CAA159F" w14:textId="46182907" w:rsidR="00242A8E" w:rsidRDefault="00242A8E" w:rsidP="00242A8E">
            <w:pPr>
              <w:rPr>
                <w:rFonts w:eastAsia="Times New Roman"/>
              </w:rPr>
            </w:pPr>
            <w:r>
              <w:rPr>
                <w:rFonts w:eastAsia="Times New Roman"/>
              </w:rPr>
              <w:t xml:space="preserve">FOP “healthy stars” labels based on the Guiding Stars system </w:t>
            </w:r>
            <w:r w:rsidR="0088709E">
              <w:rPr>
                <w:rFonts w:eastAsia="Times New Roman"/>
              </w:rPr>
              <w:fldChar w:fldCharType="begin" w:fldLock="1"/>
            </w:r>
            <w:r w:rsidR="000630D1">
              <w:rPr>
                <w:rFonts w:eastAsia="Times New Roman"/>
              </w:rPr>
              <w:instrText>ADDIN CSL_CITATION {"citationItems":[{"id":"ITEM-1","itemData":{"author":[{"dropping-particle":"","family":"Guiding Stars Licensing Company","given":"","non-dropping-particle":"","parse-names":false,"suffix":""}],"id":"ITEM-1","issued":{"date-parts":[["2012"]]},"number":"2652379","number-of-pages":"1-5","publisher-place":"Canada","title":"Understanding the Science behind the Guiding Stars® Algorithm for Canada","type":"report"},"uris":["http://www.mendeley.com/documents/?uuid=7b8bb190-3d4f-4bb7-85c9-4f6c96322775"]}],"mendeley":{"formattedCitation":"(Guiding Stars Licensing Company 2012)","plainTextFormattedCitation":"(Guiding Stars Licensing Company 2012)","previouslyFormattedCitation":"(Guiding Stars Licensing Company 2012)"},"properties":{"noteIndex":0},"schema":"https://github.com/citation-style-language/schema/raw/master/csl-citation.json"}</w:instrText>
            </w:r>
            <w:r w:rsidR="0088709E">
              <w:rPr>
                <w:rFonts w:eastAsia="Times New Roman"/>
              </w:rPr>
              <w:fldChar w:fldCharType="separate"/>
            </w:r>
            <w:r w:rsidR="000630D1" w:rsidRPr="000630D1">
              <w:rPr>
                <w:rFonts w:eastAsia="Times New Roman"/>
                <w:noProof/>
              </w:rPr>
              <w:t>(Guiding Stars Licensing Company 2012)</w:t>
            </w:r>
            <w:r w:rsidR="0088709E">
              <w:rPr>
                <w:rFonts w:eastAsia="Times New Roman"/>
              </w:rPr>
              <w:fldChar w:fldCharType="end"/>
            </w:r>
          </w:p>
          <w:p w14:paraId="1137006C" w14:textId="77777777" w:rsidR="00242A8E" w:rsidRDefault="00242A8E" w:rsidP="00242A8E">
            <w:pPr>
              <w:rPr>
                <w:rFonts w:eastAsia="Times New Roman"/>
              </w:rPr>
            </w:pPr>
          </w:p>
          <w:p w14:paraId="2A56A0EF" w14:textId="77777777" w:rsidR="00242A8E" w:rsidRDefault="00D30E3F" w:rsidP="00242A8E">
            <w:pPr>
              <w:rPr>
                <w:rFonts w:eastAsia="Times New Roman"/>
              </w:rPr>
            </w:pPr>
            <w:r w:rsidRPr="00D30E3F">
              <w:rPr>
                <w:rFonts w:eastAsia="Times New Roman"/>
                <w:i/>
                <w:iCs/>
              </w:rPr>
              <w:t>Custom FOP Labels</w:t>
            </w:r>
            <w:r>
              <w:rPr>
                <w:rFonts w:eastAsia="Times New Roman"/>
              </w:rPr>
              <w:t xml:space="preserve">. </w:t>
            </w:r>
            <w:r w:rsidR="00242A8E">
              <w:rPr>
                <w:rFonts w:eastAsia="Times New Roman"/>
              </w:rPr>
              <w:t>FOP labels that can be uploaded as images by the researcher. The labels are placed on products based on a researcher-specified equation</w:t>
            </w:r>
            <w:r>
              <w:rPr>
                <w:rFonts w:eastAsia="Times New Roman"/>
              </w:rPr>
              <w:t>.</w:t>
            </w:r>
          </w:p>
          <w:p w14:paraId="7F24D6D3" w14:textId="77777777" w:rsidR="0088709E" w:rsidRDefault="0088709E" w:rsidP="00242A8E">
            <w:pPr>
              <w:rPr>
                <w:rFonts w:eastAsia="Times New Roman"/>
              </w:rPr>
            </w:pPr>
          </w:p>
          <w:p w14:paraId="478DA8A7" w14:textId="4DEDBBBF" w:rsidR="003C30D9" w:rsidRDefault="003C30D9" w:rsidP="00B20C1A">
            <w:pPr>
              <w:jc w:val="center"/>
              <w:rPr>
                <w:rFonts w:eastAsia="Times New Roman"/>
              </w:rPr>
            </w:pPr>
            <w:r w:rsidRPr="003C30D9">
              <w:rPr>
                <w:rFonts w:eastAsia="Times New Roman"/>
                <w:noProof/>
              </w:rPr>
              <w:lastRenderedPageBreak/>
              <w:drawing>
                <wp:inline distT="0" distB="0" distL="0" distR="0" wp14:anchorId="34486E85" wp14:editId="59C4BFE1">
                  <wp:extent cx="2019300" cy="187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9300" cy="1879600"/>
                          </a:xfrm>
                          <a:prstGeom prst="rect">
                            <a:avLst/>
                          </a:prstGeom>
                        </pic:spPr>
                      </pic:pic>
                    </a:graphicData>
                  </a:graphic>
                </wp:inline>
              </w:drawing>
            </w:r>
          </w:p>
          <w:p w14:paraId="3C951B73" w14:textId="43524E2B" w:rsidR="003C30D9" w:rsidRDefault="003C30D9" w:rsidP="00242A8E">
            <w:pPr>
              <w:rPr>
                <w:rFonts w:eastAsia="Times New Roman"/>
              </w:rPr>
            </w:pPr>
          </w:p>
        </w:tc>
      </w:tr>
      <w:tr w:rsidR="00242A8E" w14:paraId="510D8C53" w14:textId="77777777" w:rsidTr="00597359">
        <w:tc>
          <w:tcPr>
            <w:tcW w:w="2335" w:type="dxa"/>
          </w:tcPr>
          <w:p w14:paraId="3570F2B6" w14:textId="482C0959" w:rsidR="00242A8E" w:rsidRDefault="00242A8E" w:rsidP="00242A8E">
            <w:pPr>
              <w:rPr>
                <w:rFonts w:eastAsia="Times New Roman"/>
              </w:rPr>
            </w:pPr>
            <w:r>
              <w:rPr>
                <w:rFonts w:eastAsia="Times New Roman"/>
              </w:rPr>
              <w:lastRenderedPageBreak/>
              <w:t>Within-</w:t>
            </w:r>
            <w:r w:rsidR="008F12F2">
              <w:rPr>
                <w:rFonts w:eastAsia="Times New Roman"/>
              </w:rPr>
              <w:t>P</w:t>
            </w:r>
            <w:r>
              <w:rPr>
                <w:rFonts w:eastAsia="Times New Roman"/>
              </w:rPr>
              <w:t xml:space="preserve">age </w:t>
            </w:r>
            <w:r w:rsidR="008F12F2">
              <w:rPr>
                <w:rFonts w:eastAsia="Times New Roman"/>
              </w:rPr>
              <w:t>S</w:t>
            </w:r>
            <w:r>
              <w:rPr>
                <w:rFonts w:eastAsia="Times New Roman"/>
              </w:rPr>
              <w:t xml:space="preserve">orting </w:t>
            </w:r>
          </w:p>
        </w:tc>
        <w:tc>
          <w:tcPr>
            <w:tcW w:w="7015" w:type="dxa"/>
          </w:tcPr>
          <w:p w14:paraId="1AC9410A" w14:textId="3E8E249D" w:rsidR="00242A8E" w:rsidRDefault="00242A8E" w:rsidP="00242A8E">
            <w:pPr>
              <w:rPr>
                <w:rFonts w:eastAsia="Times New Roman"/>
              </w:rPr>
            </w:pPr>
            <w:r>
              <w:rPr>
                <w:rFonts w:eastAsia="Times New Roman"/>
              </w:rPr>
              <w:t>Products can be sorted within a page based on the system default, a random order, a</w:t>
            </w:r>
            <w:r w:rsidR="00B132DE">
              <w:rPr>
                <w:rFonts w:eastAsia="Times New Roman"/>
              </w:rPr>
              <w:t>n order based on any available product information (e.g., calories from fat, price, alphabetical, health labels)</w:t>
            </w:r>
            <w:r w:rsidR="00E37939">
              <w:rPr>
                <w:rFonts w:eastAsia="Times New Roman"/>
              </w:rPr>
              <w:t>, or any researcher-specified order.</w:t>
            </w:r>
          </w:p>
          <w:p w14:paraId="263FBA2F" w14:textId="77777777" w:rsidR="00242A8E" w:rsidRDefault="00242A8E" w:rsidP="00242A8E">
            <w:pPr>
              <w:rPr>
                <w:rFonts w:eastAsia="Times New Roman"/>
              </w:rPr>
            </w:pPr>
          </w:p>
          <w:p w14:paraId="440ED1A4" w14:textId="6FC36C74" w:rsidR="00242A8E" w:rsidRDefault="00D30E3F" w:rsidP="00242A8E">
            <w:pPr>
              <w:rPr>
                <w:rFonts w:eastAsia="Times New Roman"/>
              </w:rPr>
            </w:pPr>
            <w:r>
              <w:rPr>
                <w:rFonts w:eastAsia="Times New Roman"/>
              </w:rPr>
              <w:t>T</w:t>
            </w:r>
            <w:r w:rsidR="00242A8E">
              <w:rPr>
                <w:rFonts w:eastAsia="Times New Roman"/>
              </w:rPr>
              <w:t xml:space="preserve">oggle on-and-off participants’ ability to sort pages </w:t>
            </w:r>
            <w:r>
              <w:rPr>
                <w:rFonts w:eastAsia="Times New Roman"/>
              </w:rPr>
              <w:t xml:space="preserve">based on the same features. </w:t>
            </w:r>
          </w:p>
          <w:p w14:paraId="372499A0" w14:textId="12264FCB" w:rsidR="00B20C1A" w:rsidRDefault="00B20C1A" w:rsidP="00242A8E">
            <w:pPr>
              <w:rPr>
                <w:rFonts w:eastAsia="Times New Roman"/>
              </w:rPr>
            </w:pPr>
          </w:p>
          <w:p w14:paraId="62CFC8DB" w14:textId="192637C1" w:rsidR="00B20C1A" w:rsidRDefault="00B20C1A" w:rsidP="00242A8E">
            <w:pPr>
              <w:rPr>
                <w:rFonts w:eastAsia="Times New Roman"/>
              </w:rPr>
            </w:pPr>
            <w:r>
              <w:rPr>
                <w:rFonts w:eastAsia="Times New Roman"/>
              </w:rPr>
              <w:t>Toggle on-and-off participants’ ability to use the search function within the store.</w:t>
            </w:r>
          </w:p>
          <w:p w14:paraId="491BF833" w14:textId="5868B5AF" w:rsidR="0088709E" w:rsidRDefault="0088709E" w:rsidP="00242A8E">
            <w:pPr>
              <w:rPr>
                <w:rFonts w:eastAsia="Times New Roman"/>
              </w:rPr>
            </w:pPr>
          </w:p>
        </w:tc>
      </w:tr>
      <w:tr w:rsidR="00242A8E" w14:paraId="2672A044" w14:textId="77777777" w:rsidTr="00597359">
        <w:tc>
          <w:tcPr>
            <w:tcW w:w="2335" w:type="dxa"/>
          </w:tcPr>
          <w:p w14:paraId="0FCD3727" w14:textId="3B87037C" w:rsidR="00242A8E" w:rsidRDefault="008F12F2" w:rsidP="008F12F2">
            <w:pPr>
              <w:rPr>
                <w:rFonts w:eastAsia="Times New Roman"/>
              </w:rPr>
            </w:pPr>
            <w:r>
              <w:rPr>
                <w:rFonts w:eastAsia="Times New Roman"/>
              </w:rPr>
              <w:t>Custom Categories</w:t>
            </w:r>
          </w:p>
        </w:tc>
        <w:tc>
          <w:tcPr>
            <w:tcW w:w="7015" w:type="dxa"/>
          </w:tcPr>
          <w:p w14:paraId="55344825" w14:textId="7C228464" w:rsidR="00DF27BB" w:rsidRDefault="00D30E3F" w:rsidP="00242A8E">
            <w:pPr>
              <w:rPr>
                <w:rFonts w:eastAsia="Times New Roman"/>
              </w:rPr>
            </w:pPr>
            <w:r>
              <w:rPr>
                <w:rFonts w:eastAsia="Times New Roman"/>
              </w:rPr>
              <w:t>Include</w:t>
            </w:r>
            <w:r w:rsidR="00DF27BB">
              <w:rPr>
                <w:rFonts w:eastAsia="Times New Roman"/>
              </w:rPr>
              <w:t xml:space="preserve"> additional product categories and subcategories above the nine built-in navigational categories. Researchers specify which products fall in the new categories. Products appear both in their original category and the researcher-created category.</w:t>
            </w:r>
          </w:p>
          <w:p w14:paraId="533DDE06" w14:textId="077B6306" w:rsidR="00E37939" w:rsidRDefault="00E37939" w:rsidP="00242A8E">
            <w:pPr>
              <w:rPr>
                <w:rFonts w:eastAsia="Times New Roman"/>
              </w:rPr>
            </w:pPr>
          </w:p>
          <w:p w14:paraId="29D69239" w14:textId="77777777" w:rsidR="0088709E" w:rsidRDefault="00E37939" w:rsidP="00242A8E">
            <w:pPr>
              <w:rPr>
                <w:rFonts w:eastAsia="Times New Roman"/>
              </w:rPr>
            </w:pPr>
            <w:r>
              <w:rPr>
                <w:rFonts w:eastAsia="Times New Roman"/>
              </w:rPr>
              <w:t xml:space="preserve">Researchers can also toggle any given category on or off entirely. For example, it would be possible to present a grocery store that did not contain meat products. </w:t>
            </w:r>
          </w:p>
          <w:p w14:paraId="4EC99554" w14:textId="6A35B7BC" w:rsidR="00B20C1A" w:rsidRDefault="00B20C1A" w:rsidP="00242A8E">
            <w:pPr>
              <w:rPr>
                <w:rFonts w:eastAsia="Times New Roman"/>
              </w:rPr>
            </w:pPr>
          </w:p>
        </w:tc>
      </w:tr>
      <w:tr w:rsidR="00242A8E" w14:paraId="3A4C82BB" w14:textId="77777777" w:rsidTr="00597359">
        <w:tc>
          <w:tcPr>
            <w:tcW w:w="2335" w:type="dxa"/>
          </w:tcPr>
          <w:p w14:paraId="167B27FF" w14:textId="78094516" w:rsidR="00242A8E" w:rsidRDefault="00DF27BB" w:rsidP="00242A8E">
            <w:pPr>
              <w:rPr>
                <w:rFonts w:eastAsia="Times New Roman"/>
              </w:rPr>
            </w:pPr>
            <w:r>
              <w:rPr>
                <w:rFonts w:eastAsia="Times New Roman"/>
              </w:rPr>
              <w:t>Cart-Level Feedback</w:t>
            </w:r>
          </w:p>
        </w:tc>
        <w:tc>
          <w:tcPr>
            <w:tcW w:w="7015" w:type="dxa"/>
          </w:tcPr>
          <w:p w14:paraId="0033404A" w14:textId="4298B49C" w:rsidR="00242A8E" w:rsidRDefault="00B132DE" w:rsidP="00242A8E">
            <w:pPr>
              <w:rPr>
                <w:rFonts w:eastAsia="Times New Roman"/>
              </w:rPr>
            </w:pPr>
            <w:r>
              <w:rPr>
                <w:rFonts w:eastAsia="Times New Roman"/>
              </w:rPr>
              <w:t>Toggle whether participants see a price total or not</w:t>
            </w:r>
            <w:r w:rsidR="00D30E3F">
              <w:rPr>
                <w:rFonts w:eastAsia="Times New Roman"/>
              </w:rPr>
              <w:t>.</w:t>
            </w:r>
          </w:p>
          <w:p w14:paraId="2AF6B608" w14:textId="77777777" w:rsidR="00D30E3F" w:rsidRDefault="00D30E3F" w:rsidP="00242A8E">
            <w:pPr>
              <w:rPr>
                <w:rFonts w:eastAsia="Times New Roman"/>
              </w:rPr>
            </w:pPr>
          </w:p>
          <w:p w14:paraId="2B1F611A" w14:textId="77777777" w:rsidR="00B132DE" w:rsidRDefault="00B132DE" w:rsidP="00242A8E">
            <w:pPr>
              <w:rPr>
                <w:rFonts w:eastAsia="Times New Roman"/>
              </w:rPr>
            </w:pPr>
            <w:r>
              <w:rPr>
                <w:rFonts w:eastAsia="Times New Roman"/>
              </w:rPr>
              <w:t>Provide feedback based on health labels (</w:t>
            </w:r>
            <w:proofErr w:type="gramStart"/>
            <w:r>
              <w:rPr>
                <w:rFonts w:eastAsia="Times New Roman"/>
              </w:rPr>
              <w:t>e.g.</w:t>
            </w:r>
            <w:proofErr w:type="gramEnd"/>
            <w:r>
              <w:rPr>
                <w:rFonts w:eastAsia="Times New Roman"/>
              </w:rPr>
              <w:t xml:space="preserve"> “8 out of 10 products in your cart have a health label”)</w:t>
            </w:r>
          </w:p>
          <w:p w14:paraId="4D5AC125" w14:textId="77777777" w:rsidR="00D30E3F" w:rsidRDefault="00D30E3F" w:rsidP="00242A8E">
            <w:pPr>
              <w:rPr>
                <w:rFonts w:eastAsia="Times New Roman"/>
              </w:rPr>
            </w:pPr>
          </w:p>
          <w:p w14:paraId="64E73E95" w14:textId="77777777" w:rsidR="00D30E3F" w:rsidRDefault="00D30E3F" w:rsidP="00242A8E">
            <w:pPr>
              <w:rPr>
                <w:rFonts w:eastAsia="Times New Roman"/>
              </w:rPr>
            </w:pPr>
            <w:r>
              <w:rPr>
                <w:rFonts w:eastAsia="Times New Roman"/>
              </w:rPr>
              <w:t xml:space="preserve">Upload an image that appears at check-out conditional on a researcher-specified equation. </w:t>
            </w:r>
          </w:p>
          <w:p w14:paraId="21DCE5C4" w14:textId="77777777" w:rsidR="0088709E" w:rsidRDefault="0088709E" w:rsidP="00242A8E">
            <w:pPr>
              <w:rPr>
                <w:rFonts w:eastAsia="Times New Roman"/>
              </w:rPr>
            </w:pPr>
          </w:p>
          <w:p w14:paraId="43E8FED7" w14:textId="46DCD56E" w:rsidR="003C30D9" w:rsidRDefault="003C30D9" w:rsidP="00242A8E">
            <w:pPr>
              <w:rPr>
                <w:rFonts w:eastAsia="Times New Roman"/>
              </w:rPr>
            </w:pPr>
            <w:r w:rsidRPr="003C30D9">
              <w:rPr>
                <w:rFonts w:eastAsia="Times New Roman"/>
                <w:noProof/>
              </w:rPr>
              <w:drawing>
                <wp:inline distT="0" distB="0" distL="0" distR="0" wp14:anchorId="20F4B11C" wp14:editId="663B31F9">
                  <wp:extent cx="4457700" cy="100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1003300"/>
                          </a:xfrm>
                          <a:prstGeom prst="rect">
                            <a:avLst/>
                          </a:prstGeom>
                        </pic:spPr>
                      </pic:pic>
                    </a:graphicData>
                  </a:graphic>
                </wp:inline>
              </w:drawing>
            </w:r>
          </w:p>
          <w:p w14:paraId="0DBA2C92" w14:textId="3267670C" w:rsidR="003C30D9" w:rsidRDefault="003C30D9" w:rsidP="00242A8E">
            <w:pPr>
              <w:rPr>
                <w:rFonts w:eastAsia="Times New Roman"/>
              </w:rPr>
            </w:pPr>
          </w:p>
        </w:tc>
      </w:tr>
      <w:tr w:rsidR="00D30E3F" w14:paraId="7571B5A9" w14:textId="77777777" w:rsidTr="00597359">
        <w:tc>
          <w:tcPr>
            <w:tcW w:w="2335" w:type="dxa"/>
          </w:tcPr>
          <w:p w14:paraId="2EE3B26B" w14:textId="00FBC7A6" w:rsidR="00D30E3F" w:rsidRDefault="00D30E3F" w:rsidP="00242A8E">
            <w:pPr>
              <w:rPr>
                <w:rFonts w:eastAsia="Times New Roman"/>
              </w:rPr>
            </w:pPr>
            <w:r>
              <w:rPr>
                <w:rFonts w:eastAsia="Times New Roman"/>
              </w:rPr>
              <w:lastRenderedPageBreak/>
              <w:t>Modifications to the Nutrition Facts Label</w:t>
            </w:r>
          </w:p>
        </w:tc>
        <w:tc>
          <w:tcPr>
            <w:tcW w:w="7015" w:type="dxa"/>
          </w:tcPr>
          <w:p w14:paraId="1CCDBAE7" w14:textId="77777777" w:rsidR="00D30E3F" w:rsidRDefault="00D30E3F" w:rsidP="00D30E3F">
            <w:pPr>
              <w:rPr>
                <w:rFonts w:eastAsia="Times New Roman"/>
              </w:rPr>
            </w:pPr>
            <w:r>
              <w:rPr>
                <w:rFonts w:eastAsia="Times New Roman"/>
              </w:rPr>
              <w:t>Require participants to add items to their cart from the detailed product page (i.e., ensure participants see nutrition information before checking out).</w:t>
            </w:r>
          </w:p>
          <w:p w14:paraId="4B80F971" w14:textId="77777777" w:rsidR="00D30E3F" w:rsidRDefault="00D30E3F" w:rsidP="00D30E3F">
            <w:pPr>
              <w:rPr>
                <w:rFonts w:eastAsia="Times New Roman"/>
              </w:rPr>
            </w:pPr>
          </w:p>
          <w:p w14:paraId="66EE20E1" w14:textId="77777777" w:rsidR="00D30E3F" w:rsidRDefault="00D30E3F" w:rsidP="00D30E3F">
            <w:pPr>
              <w:rPr>
                <w:rFonts w:eastAsia="Times New Roman"/>
              </w:rPr>
            </w:pPr>
            <w:r>
              <w:rPr>
                <w:rFonts w:eastAsia="Times New Roman"/>
              </w:rPr>
              <w:t>Change the formatting of the nutrition facts label including the font (type, size, color, bold, italics)</w:t>
            </w:r>
            <w:r w:rsidR="00D57AA7">
              <w:rPr>
                <w:rFonts w:eastAsia="Times New Roman"/>
              </w:rPr>
              <w:t xml:space="preserve"> and</w:t>
            </w:r>
            <w:r>
              <w:rPr>
                <w:rFonts w:eastAsia="Times New Roman"/>
              </w:rPr>
              <w:t xml:space="preserve"> background color</w:t>
            </w:r>
            <w:r w:rsidR="00D57AA7">
              <w:rPr>
                <w:rFonts w:eastAsia="Times New Roman"/>
              </w:rPr>
              <w:t xml:space="preserve">. Changes can apply to all labels or be conditional on product features. </w:t>
            </w:r>
          </w:p>
          <w:p w14:paraId="70407FBF" w14:textId="1658C79A" w:rsidR="0088709E" w:rsidRDefault="0088709E" w:rsidP="00D30E3F">
            <w:pPr>
              <w:rPr>
                <w:rFonts w:eastAsia="Times New Roman"/>
              </w:rPr>
            </w:pPr>
          </w:p>
        </w:tc>
      </w:tr>
      <w:tr w:rsidR="00D57AA7" w14:paraId="0B0D8793" w14:textId="77777777" w:rsidTr="0088709E">
        <w:tc>
          <w:tcPr>
            <w:tcW w:w="2335" w:type="dxa"/>
          </w:tcPr>
          <w:p w14:paraId="0A81A86B" w14:textId="70572626" w:rsidR="00D57AA7" w:rsidRDefault="00D57AA7" w:rsidP="00242A8E">
            <w:pPr>
              <w:rPr>
                <w:rFonts w:eastAsia="Times New Roman"/>
              </w:rPr>
            </w:pPr>
            <w:r>
              <w:rPr>
                <w:rFonts w:eastAsia="Times New Roman"/>
              </w:rPr>
              <w:t>Product Suggestions</w:t>
            </w:r>
          </w:p>
        </w:tc>
        <w:tc>
          <w:tcPr>
            <w:tcW w:w="7015" w:type="dxa"/>
          </w:tcPr>
          <w:p w14:paraId="68049491" w14:textId="07F8FD25" w:rsidR="00D57AA7" w:rsidRDefault="00D57AA7" w:rsidP="00D30E3F">
            <w:pPr>
              <w:rPr>
                <w:rFonts w:eastAsia="Times New Roman"/>
              </w:rPr>
            </w:pPr>
            <w:r>
              <w:rPr>
                <w:rFonts w:eastAsia="Times New Roman"/>
              </w:rPr>
              <w:t xml:space="preserve">When participants add specific items to their cart, a pop-up will appear asking whether they would like to also add a complimentary item (e.g., “we see you’re buying ranch dressing, would you like to add carrot sticks?”). If participants agree, the complementary item is also added to their cart. The researcher specifies all the product pairings. </w:t>
            </w:r>
          </w:p>
          <w:p w14:paraId="76142631" w14:textId="7E0A1704" w:rsidR="003C30D9" w:rsidRDefault="003C30D9" w:rsidP="00D30E3F">
            <w:pPr>
              <w:rPr>
                <w:rFonts w:eastAsia="Times New Roman"/>
              </w:rPr>
            </w:pPr>
          </w:p>
          <w:p w14:paraId="6421DFF9" w14:textId="6E0874F4" w:rsidR="003C30D9" w:rsidRDefault="003C30D9" w:rsidP="00D30E3F">
            <w:pPr>
              <w:rPr>
                <w:rFonts w:eastAsia="Times New Roman"/>
              </w:rPr>
            </w:pPr>
            <w:r w:rsidRPr="003C30D9">
              <w:rPr>
                <w:rFonts w:eastAsia="Times New Roman"/>
                <w:noProof/>
              </w:rPr>
              <w:drawing>
                <wp:inline distT="0" distB="0" distL="0" distR="0" wp14:anchorId="557BA375" wp14:editId="105D0A10">
                  <wp:extent cx="3853385" cy="219140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4621" cy="2203484"/>
                          </a:xfrm>
                          <a:prstGeom prst="rect">
                            <a:avLst/>
                          </a:prstGeom>
                        </pic:spPr>
                      </pic:pic>
                    </a:graphicData>
                  </a:graphic>
                </wp:inline>
              </w:drawing>
            </w:r>
          </w:p>
          <w:p w14:paraId="2B26D030" w14:textId="587051F2" w:rsidR="0088709E" w:rsidRDefault="0088709E" w:rsidP="00D30E3F">
            <w:pPr>
              <w:rPr>
                <w:rFonts w:eastAsia="Times New Roman"/>
              </w:rPr>
            </w:pPr>
          </w:p>
        </w:tc>
      </w:tr>
      <w:tr w:rsidR="00D57AA7" w14:paraId="44F11812" w14:textId="77777777" w:rsidTr="0088709E">
        <w:tc>
          <w:tcPr>
            <w:tcW w:w="2335" w:type="dxa"/>
            <w:tcBorders>
              <w:bottom w:val="single" w:sz="4" w:space="0" w:color="auto"/>
            </w:tcBorders>
          </w:tcPr>
          <w:p w14:paraId="2CAA74B1" w14:textId="27BF8EF2" w:rsidR="00D57AA7" w:rsidRDefault="00D57AA7" w:rsidP="00242A8E">
            <w:pPr>
              <w:rPr>
                <w:rFonts w:eastAsia="Times New Roman"/>
              </w:rPr>
            </w:pPr>
            <w:r>
              <w:rPr>
                <w:rFonts w:eastAsia="Times New Roman"/>
              </w:rPr>
              <w:t xml:space="preserve">Budgeting </w:t>
            </w:r>
          </w:p>
        </w:tc>
        <w:tc>
          <w:tcPr>
            <w:tcW w:w="7015" w:type="dxa"/>
            <w:tcBorders>
              <w:bottom w:val="single" w:sz="4" w:space="0" w:color="auto"/>
            </w:tcBorders>
          </w:tcPr>
          <w:p w14:paraId="3B1CFCBA" w14:textId="77777777" w:rsidR="00D57AA7" w:rsidRDefault="00D57AA7" w:rsidP="00D30E3F">
            <w:pPr>
              <w:rPr>
                <w:rFonts w:eastAsia="Times New Roman"/>
              </w:rPr>
            </w:pPr>
            <w:r>
              <w:rPr>
                <w:rFonts w:eastAsia="Times New Roman"/>
              </w:rPr>
              <w:t>Toggle participants’ ability to add items to their cart by dollar amount (e.g., “add $2.00 worth of bananas)</w:t>
            </w:r>
          </w:p>
          <w:p w14:paraId="5898D9E7" w14:textId="77777777" w:rsidR="00D57AA7" w:rsidRDefault="00D57AA7" w:rsidP="00D30E3F">
            <w:pPr>
              <w:rPr>
                <w:rFonts w:eastAsia="Times New Roman"/>
              </w:rPr>
            </w:pPr>
          </w:p>
          <w:p w14:paraId="224B7C6D" w14:textId="03CAC3F0" w:rsidR="0088709E" w:rsidRDefault="00D57AA7" w:rsidP="00D30E3F">
            <w:pPr>
              <w:rPr>
                <w:rFonts w:eastAsia="Times New Roman"/>
              </w:rPr>
            </w:pPr>
            <w:r>
              <w:rPr>
                <w:rFonts w:eastAsia="Times New Roman"/>
              </w:rPr>
              <w:t xml:space="preserve">Set maximum or minimum cart totals required to check-out of the store. </w:t>
            </w:r>
          </w:p>
        </w:tc>
      </w:tr>
    </w:tbl>
    <w:p w14:paraId="5BF8626C" w14:textId="77777777" w:rsidR="0088709E" w:rsidRDefault="00A477AF" w:rsidP="00E13149">
      <w:pPr>
        <w:spacing w:line="480" w:lineRule="auto"/>
        <w:rPr>
          <w:rFonts w:eastAsia="Times New Roman"/>
        </w:rPr>
      </w:pPr>
      <w:r>
        <w:rPr>
          <w:rFonts w:eastAsia="Times New Roman"/>
        </w:rPr>
        <w:tab/>
      </w:r>
    </w:p>
    <w:p w14:paraId="19FE5E3C" w14:textId="14CB729B" w:rsidR="00D57AA7" w:rsidRPr="003D73E9" w:rsidRDefault="003D73E9" w:rsidP="0088709E">
      <w:pPr>
        <w:spacing w:line="480" w:lineRule="auto"/>
        <w:ind w:firstLine="720"/>
        <w:rPr>
          <w:b/>
          <w:bCs/>
        </w:rPr>
      </w:pPr>
      <w:r>
        <w:t xml:space="preserve">Please examine </w:t>
      </w:r>
      <w:hyperlink r:id="rId12" w:history="1">
        <w:r w:rsidRPr="00966061">
          <w:rPr>
            <w:rStyle w:val="Hyperlink"/>
          </w:rPr>
          <w:t>https://openscience-onlinegrocery.com/pages/tutorials</w:t>
        </w:r>
      </w:hyperlink>
      <w:r>
        <w:t xml:space="preserve"> for more specific instructions about how to use each feature and details on how to integrate OSOG with existing survey software like Qualtrics. </w:t>
      </w:r>
    </w:p>
    <w:p w14:paraId="567A8FB9" w14:textId="68B699F3" w:rsidR="00432BBB" w:rsidRDefault="00A477AF" w:rsidP="00432BBB">
      <w:pPr>
        <w:spacing w:line="480" w:lineRule="auto"/>
        <w:ind w:firstLine="720"/>
        <w:rPr>
          <w:rFonts w:eastAsia="Times New Roman"/>
        </w:rPr>
      </w:pPr>
      <w:r w:rsidRPr="00A477AF">
        <w:rPr>
          <w:rFonts w:eastAsia="Times New Roman"/>
          <w:b/>
          <w:bCs/>
          <w:i/>
          <w:iCs/>
        </w:rPr>
        <w:t>Downloadable Data</w:t>
      </w:r>
      <w:r>
        <w:rPr>
          <w:rFonts w:eastAsia="Times New Roman"/>
        </w:rPr>
        <w:t xml:space="preserve">. </w:t>
      </w:r>
      <w:r w:rsidR="003D73E9">
        <w:rPr>
          <w:rFonts w:eastAsia="Times New Roman"/>
        </w:rPr>
        <w:t xml:space="preserve">Researchers can download </w:t>
      </w:r>
      <w:r w:rsidR="00E37939">
        <w:rPr>
          <w:rFonts w:eastAsia="Times New Roman"/>
        </w:rPr>
        <w:t>t</w:t>
      </w:r>
      <w:r w:rsidR="00622780">
        <w:rPr>
          <w:rFonts w:eastAsia="Times New Roman"/>
        </w:rPr>
        <w:t>wo</w:t>
      </w:r>
      <w:r w:rsidR="003D73E9">
        <w:rPr>
          <w:rFonts w:eastAsia="Times New Roman"/>
        </w:rPr>
        <w:t xml:space="preserve"> </w:t>
      </w:r>
      <w:r w:rsidR="0088709E">
        <w:rPr>
          <w:rFonts w:eastAsia="Times New Roman"/>
        </w:rPr>
        <w:t>.</w:t>
      </w:r>
      <w:r w:rsidR="003D73E9">
        <w:rPr>
          <w:rFonts w:eastAsia="Times New Roman"/>
        </w:rPr>
        <w:t xml:space="preserve">csv files from OSOG, depending on their research questions. </w:t>
      </w:r>
      <w:r w:rsidR="00946715">
        <w:rPr>
          <w:rFonts w:eastAsia="Times New Roman"/>
        </w:rPr>
        <w:t>One data set</w:t>
      </w:r>
      <w:r w:rsidR="003D73E9">
        <w:rPr>
          <w:rFonts w:eastAsia="Times New Roman"/>
        </w:rPr>
        <w:t xml:space="preserve"> shows all the products in each participants’ cart when they checked out. This output includes nutrition information and price for each product, and summary statistics for the entire basket (e.g., total cost, number of items, total calories). The “All </w:t>
      </w:r>
      <w:r w:rsidR="003D73E9">
        <w:rPr>
          <w:rFonts w:eastAsia="Times New Roman"/>
        </w:rPr>
        <w:lastRenderedPageBreak/>
        <w:t>Participant Actions” file shows the researcher everything the participant did in the store: which items participants viewed detailed information on, the order in which items were</w:t>
      </w:r>
      <w:r w:rsidR="00622780">
        <w:rPr>
          <w:rFonts w:eastAsia="Times New Roman"/>
        </w:rPr>
        <w:t xml:space="preserve"> presented on the screen, the order in which items were</w:t>
      </w:r>
      <w:r w:rsidR="003D73E9">
        <w:rPr>
          <w:rFonts w:eastAsia="Times New Roman"/>
        </w:rPr>
        <w:t xml:space="preserve"> added to the cart, </w:t>
      </w:r>
      <w:r w:rsidR="00946715">
        <w:rPr>
          <w:rFonts w:eastAsia="Times New Roman"/>
        </w:rPr>
        <w:t xml:space="preserve">and </w:t>
      </w:r>
      <w:r w:rsidR="003D73E9">
        <w:rPr>
          <w:rFonts w:eastAsia="Times New Roman"/>
        </w:rPr>
        <w:t>whether items were deleted from the cart</w:t>
      </w:r>
      <w:r w:rsidR="00946715">
        <w:rPr>
          <w:rFonts w:eastAsia="Times New Roman"/>
        </w:rPr>
        <w:t>.</w:t>
      </w:r>
      <w:r w:rsidR="00E37939">
        <w:rPr>
          <w:rFonts w:eastAsia="Times New Roman"/>
        </w:rPr>
        <w:t xml:space="preserve"> </w:t>
      </w:r>
    </w:p>
    <w:p w14:paraId="4C627E3C" w14:textId="67AE6486" w:rsidR="00E37939" w:rsidRDefault="00E37939" w:rsidP="000919D4">
      <w:pPr>
        <w:spacing w:line="480" w:lineRule="auto"/>
        <w:ind w:firstLine="720"/>
        <w:rPr>
          <w:rFonts w:eastAsia="Times New Roman"/>
        </w:rPr>
      </w:pPr>
      <w:r w:rsidRPr="00B20C1A">
        <w:rPr>
          <w:rFonts w:eastAsia="Times New Roman"/>
          <w:b/>
          <w:bCs/>
          <w:i/>
          <w:iCs/>
        </w:rPr>
        <w:t>Comparing OSOG to Existing Tools.</w:t>
      </w:r>
      <w:r>
        <w:rPr>
          <w:rFonts w:eastAsia="Times New Roman"/>
          <w:b/>
          <w:bCs/>
        </w:rPr>
        <w:t xml:space="preserve"> </w:t>
      </w:r>
      <w:r>
        <w:rPr>
          <w:rFonts w:eastAsia="Times New Roman"/>
        </w:rPr>
        <w:t xml:space="preserve">OSOG is not the first online grocery store to be used in </w:t>
      </w:r>
      <w:r w:rsidR="00554F3A">
        <w:rPr>
          <w:rFonts w:eastAsia="Times New Roman"/>
        </w:rPr>
        <w:t>a</w:t>
      </w:r>
      <w:r>
        <w:rPr>
          <w:rFonts w:eastAsia="Times New Roman"/>
        </w:rPr>
        <w:t xml:space="preserve">cademic research. </w:t>
      </w:r>
      <w:r w:rsidR="00554F3A">
        <w:rPr>
          <w:rFonts w:eastAsia="Times New Roman"/>
        </w:rPr>
        <w:t xml:space="preserve">Other tools (i.e., </w:t>
      </w:r>
      <w:proofErr w:type="spellStart"/>
      <w:r w:rsidR="00554F3A">
        <w:rPr>
          <w:rFonts w:eastAsia="Times New Roman"/>
        </w:rPr>
        <w:t>NUMSmart</w:t>
      </w:r>
      <w:proofErr w:type="spellEnd"/>
      <w:r w:rsidR="00421023">
        <w:rPr>
          <w:rFonts w:eastAsia="Times New Roman"/>
        </w:rPr>
        <w:t xml:space="preserve"> </w:t>
      </w:r>
      <w:r w:rsidR="00421023">
        <w:rPr>
          <w:rFonts w:eastAsia="Times New Roman"/>
        </w:rPr>
        <w:fldChar w:fldCharType="begin" w:fldLock="1"/>
      </w:r>
      <w:r w:rsidR="00421023">
        <w:rPr>
          <w:rFonts w:eastAsia="Times New Roman"/>
        </w:rPr>
        <w:instrText>ADDIN CSL_CITATION {"citationItems":[{"id":"ITEM-1","itemData":{"URL":"https://nusmartbulletin.wordpress.com/publications/","author":[{"dropping-particle":"","family":"Finkelstein","given":"Eric A","non-dropping-particle":"","parse-names":false,"suffix":""}],"id":"ITEM-1","issued":{"date-parts":[["2020"]]},"title":"NUMSmart: An experimental online grocery store to promote healthier shopping","type":"webpage"},"uris":["http://www.mendeley.com/documents/?uuid=6d8c558d-c63a-4385-a14f-4cd42f6dc113"]}],"mendeley":{"formattedCitation":"(Finkelstein 2020)","plainTextFormattedCitation":"(Finkelstein 2020)","previouslyFormattedCitation":"(Finkelstein 2020)"},"properties":{"noteIndex":0},"schema":"https://github.com/citation-style-language/schema/raw/master/csl-citation.json"}</w:instrText>
      </w:r>
      <w:r w:rsidR="00421023">
        <w:rPr>
          <w:rFonts w:eastAsia="Times New Roman"/>
        </w:rPr>
        <w:fldChar w:fldCharType="separate"/>
      </w:r>
      <w:r w:rsidR="00421023" w:rsidRPr="00421023">
        <w:rPr>
          <w:rFonts w:eastAsia="Times New Roman"/>
          <w:noProof/>
        </w:rPr>
        <w:t>(Finkelstein 2020)</w:t>
      </w:r>
      <w:r w:rsidR="00421023">
        <w:rPr>
          <w:rFonts w:eastAsia="Times New Roman"/>
        </w:rPr>
        <w:fldChar w:fldCharType="end"/>
      </w:r>
      <w:r w:rsidR="00554F3A">
        <w:rPr>
          <w:rFonts w:eastAsia="Times New Roman"/>
        </w:rPr>
        <w:t xml:space="preserve">, Dutch SN </w:t>
      </w:r>
      <w:proofErr w:type="spellStart"/>
      <w:r w:rsidR="00554F3A">
        <w:rPr>
          <w:rFonts w:eastAsia="Times New Roman"/>
        </w:rPr>
        <w:t>Virtumart</w:t>
      </w:r>
      <w:proofErr w:type="spellEnd"/>
      <w:r w:rsidR="00421023">
        <w:rPr>
          <w:rFonts w:eastAsia="Times New Roman"/>
        </w:rPr>
        <w:t xml:space="preserve"> </w:t>
      </w:r>
      <w:r w:rsidR="00421023">
        <w:rPr>
          <w:rFonts w:eastAsia="Times New Roman"/>
        </w:rPr>
        <w:fldChar w:fldCharType="begin" w:fldLock="1"/>
      </w:r>
      <w:r w:rsidR="00421023">
        <w:rPr>
          <w:rFonts w:eastAsia="Times New Roman"/>
        </w:rPr>
        <w:instrText>ADDIN CSL_CITATION {"citationItems":[{"id":"ITEM-1","itemData":{"DOI":"10.1186/s12966-020-01005-7","ISBN":"1296602001005","ISSN":"14795868","PMID":"32746928","abstract":"Background: Evidence on what strategies - or combination of strategies - are most effective and equitable in promoting healthier diets is needed. This study examined the efficacy of nudging and pricing strategies on increasing healthy food purchases and the potential differential effect by socio-economic position (SEP) among Dutch adults in a virtual supermarket. Methods: A randomized study design was conducted within a virtual supermarket (SN VirtuMart). Participants were exposed to five within-subject study conditions (control, nudging, pricing, price salience and price salience with nudging) and randomized to one of three between-subject study arms (a 25% price increase on unhealthy products, a 25% discount on healthy products, or a 25% price increase and discount). In total, 455 participants of low and high SEP (using either education or income as proxy) were randomized to conduct their weekly shopping in a virtual supermarket for five consecutive weeks. The primary outcome included the percentage of healthy purchases. Data were analyzed using linear mixed models. Results: In total, 346 (76%) adults completed all five shops within the SN VirtuMart. Median age was 32.5, 49.2% had high education and 32.8% had high income. Out of the 12 conditions, four conditions were statistically significantly different from the control condition. Nudging and non-salient pricing strategies alone did not statistically significantly increase healthy food purchases, whereas a combination of salient price increases and discounts led to an increase in the percentage of healthy food purchases (B 4.5, 95%CI 2.6; 6.4). Combining salient pricing and nudging strategies led to increases in the percentage of healthy products in all three pricing arms, with largest effects found in the combined price increase and discount arm (B = 4.0, 95%CI = 2.0; 6.0). Effects were not modified by SEP. Conclusions: Combining health-related price increases and discounts and combining these salient pricing strategies with nudges in a supermarket setting seems to stimulate healthy food purchases for both low and high SEP populations. However, further research in real-world settings is needed. Trial registration: This randomized trial (NTR7293) was registered in the Dutch trial registry (www.trialregister.nl).","author":[{"dropping-particle":"","family":"Hoenink","given":"Jody C.","non-dropping-particle":"","parse-names":false,"suffix":""},{"dropping-particle":"","family":"Mackenbach","given":"Joreintje D.","non-dropping-particle":"","parse-names":false,"suffix":""},{"dropping-particle":"","family":"Waterlander","given":"Wilma","non-dropping-particle":"","parse-names":false,"suffix":""},{"dropping-particle":"","family":"Lakerveld","given":"Jeroen","non-dropping-particle":"","parse-names":false,"suffix":""},{"dropping-particle":"","family":"Laan","given":"Nynke","non-dropping-particle":"Van Der","parse-names":false,"suffix":""},{"dropping-particle":"","family":"Beulens","given":"Joline W.J.","non-dropping-particle":"","parse-names":false,"suffix":""}],"container-title":"International Journal of Behavioral Nutrition and Physical Activity","id":"ITEM-1","issue":"1","issued":{"date-parts":[["2020"]]},"page":"1-12","publisher":"International Journal of Behavioral Nutrition and Physical Activity","title":"The effects of nudging and pricing on healthy food purchasing behavior in a virtual supermarket setting: A randomized experiment","type":"article-journal","volume":"17"},"uris":["http://www.mendeley.com/documents/?uuid=3e5dd987-e224-4fd0-aab9-615f116dcd44"]}],"mendeley":{"formattedCitation":"(Hoenink et al. 2020)","plainTextFormattedCitation":"(Hoenink et al. 2020)","previouslyFormattedCitation":"(Hoenink et al. 2020)"},"properties":{"noteIndex":0},"schema":"https://github.com/citation-style-language/schema/raw/master/csl-citation.json"}</w:instrText>
      </w:r>
      <w:r w:rsidR="00421023">
        <w:rPr>
          <w:rFonts w:eastAsia="Times New Roman"/>
        </w:rPr>
        <w:fldChar w:fldCharType="separate"/>
      </w:r>
      <w:r w:rsidR="00421023" w:rsidRPr="00421023">
        <w:rPr>
          <w:rFonts w:eastAsia="Times New Roman"/>
          <w:noProof/>
        </w:rPr>
        <w:t>(Hoenink et al. 2020)</w:t>
      </w:r>
      <w:r w:rsidR="00421023">
        <w:rPr>
          <w:rFonts w:eastAsia="Times New Roman"/>
        </w:rPr>
        <w:fldChar w:fldCharType="end"/>
      </w:r>
      <w:r w:rsidR="00554F3A">
        <w:rPr>
          <w:rFonts w:eastAsia="Times New Roman"/>
        </w:rPr>
        <w:t>, and The Virtual Supermarket</w:t>
      </w:r>
      <w:r w:rsidR="00421023">
        <w:rPr>
          <w:rFonts w:eastAsia="Times New Roman"/>
        </w:rPr>
        <w:t xml:space="preserve"> </w:t>
      </w:r>
      <w:r w:rsidR="00421023">
        <w:rPr>
          <w:rFonts w:eastAsia="Times New Roman"/>
        </w:rPr>
        <w:fldChar w:fldCharType="begin" w:fldLock="1"/>
      </w:r>
      <w:r w:rsidR="00A20060">
        <w:rPr>
          <w:rFonts w:eastAsia="Times New Roman"/>
        </w:rPr>
        <w:instrText>ADDIN CSL_CITATION {"citationItems":[{"id":"ITEM-1","itemData":{"DOI":"10.1186/1471-2458-11-589","ISSN":"14712458","PMID":"21787391","abstract":"Background: Economic interventions in the food environment are expected to effectively promote healthier food choices. However, before introducing them on a large scale, it is important to gain insight into the effectiveness of economic interventions and peoples' genuine reactions to price changes. Nonetheless, because of complex implementation issues, studies on price interventions are virtually non-existent. This is especially true for experiments undertaken in a retail setting. We have developed a research tool to study the effects of retail price interventions in a virtual-reality setting: the Virtual Supermarket. This paper aims to inform researchers about the features and utilization of this new software application. Results: The Virtual Supermarket is a Dutch-developed three-dimensional software application in which study participants can shop in a manner comparable to a real supermarket. The tool can be used to study several food pricing and labelling strategies. The application base can be used to build future extensions and could be translated into, for example, an English-language version. The Virtual Supermarket contains a front-end which is seen by the participants, and a back-end that enables researchers to easily manipulate research conditions. The application keeps track of time spent shopping, number of products purchased, shopping budget, total expenditures and answers on configurable questionnaires. All data is digitally stored and automatically sent to a web server. A pilot study among Dutch consumers (n = 66) revealed that the application accurately collected and stored all data. Results from participant feedback revealed that 83% of the respondents considered the Virtual Supermarket easy to understand and 79% found that their virtual grocery purchases resembled their regular groceries. Conclusions: The Virtual Supermarket is an innovative research tool with a great potential to assist in gaining insight into food purchasing behaviour. The application can be obtained via an URL and is freely available for academic use. The unique features of the tool include the fact that it enables researchers to easily modify research conditions and in this way study different types of interventions in a retail environment without a complex implementation process. Finally, it also maintains researcher independence and avoids conflicts of interest that may arise from industry collaboration. © 2011 Waterlander et al; licensee BioMed Central Ltd.","author":[{"dropping-particle":"","family":"Waterlander","given":"Wilma E.","non-dropping-particle":"","parse-names":false,"suffix":""},{"dropping-particle":"","family":"Scarpa","given":"Michael","non-dropping-particle":"","parse-names":false,"suffix":""},{"dropping-particle":"","family":"Lentz","given":"Daisy","non-dropping-particle":"","parse-names":false,"suffix":""},{"dropping-particle":"","family":"Steenhuis","given":"Ingrid H.M.","non-dropping-particle":"","parse-names":false,"suffix":""}],"container-title":"BMC Public Health","id":"ITEM-1","issue":"1","issued":{"date-parts":[["2011"]]},"page":"1-10","title":"The virtual supermarket: An innovative research tool to study consumer food purchasing behaviour","type":"article-journal","volume":"11"},"uris":["http://www.mendeley.com/documents/?uuid=c5d11142-ce8c-4776-af98-926da6d9bfe0"]}],"mendeley":{"formattedCitation":"(Waterlander et al. 2011)","plainTextFormattedCitation":"(Waterlander et al. 2011)","previouslyFormattedCitation":"(Waterlander et al. 2011)"},"properties":{"noteIndex":0},"schema":"https://github.com/citation-style-language/schema/raw/master/csl-citation.json"}</w:instrText>
      </w:r>
      <w:r w:rsidR="00421023">
        <w:rPr>
          <w:rFonts w:eastAsia="Times New Roman"/>
        </w:rPr>
        <w:fldChar w:fldCharType="separate"/>
      </w:r>
      <w:r w:rsidR="00421023" w:rsidRPr="00421023">
        <w:rPr>
          <w:rFonts w:eastAsia="Times New Roman"/>
          <w:noProof/>
        </w:rPr>
        <w:t>(Waterlander et al. 2011)</w:t>
      </w:r>
      <w:r w:rsidR="00421023">
        <w:rPr>
          <w:rFonts w:eastAsia="Times New Roman"/>
        </w:rPr>
        <w:fldChar w:fldCharType="end"/>
      </w:r>
      <w:r w:rsidR="00554F3A">
        <w:rPr>
          <w:rFonts w:eastAsia="Times New Roman"/>
        </w:rPr>
        <w:t xml:space="preserve">) have been used to conduct similar research. </w:t>
      </w:r>
      <w:r w:rsidR="00421023">
        <w:rPr>
          <w:rFonts w:eastAsia="Times New Roman"/>
        </w:rPr>
        <w:t xml:space="preserve">Table 2 compares the capabilities of OSOG to the other online grocery stores available to researchers. Of note, OSOG has several advantages compared to the other tools currently on the market. First, OSOG contains more products than any other online grocery tool. Second, OSOG is the only grocery tool containing products from American supermarkets, which may be familiar to North American consumers. Third, OSOG easily allows for the collection of data from online samples. Fourth, OSOG has more flexibility in terms of researcher interventions in terms of both (a) having built-in capabilities that the other tools do not (e.g., suggested products, the ability to alter nutrition labels, cart-level feedback) and (b) being open-source such that researchers can modify the store to add additional capabilities.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1370"/>
        <w:gridCol w:w="1511"/>
        <w:gridCol w:w="1628"/>
        <w:gridCol w:w="1602"/>
      </w:tblGrid>
      <w:tr w:rsidR="00F64F0C" w14:paraId="112AE592" w14:textId="77777777" w:rsidTr="00F64F0C">
        <w:tc>
          <w:tcPr>
            <w:tcW w:w="9355" w:type="dxa"/>
            <w:gridSpan w:val="5"/>
            <w:tcBorders>
              <w:bottom w:val="single" w:sz="4" w:space="0" w:color="auto"/>
            </w:tcBorders>
          </w:tcPr>
          <w:p w14:paraId="22617DFC" w14:textId="77777777" w:rsidR="00F64F0C" w:rsidRDefault="00F64F0C" w:rsidP="00673D03">
            <w:pPr>
              <w:widowControl w:val="0"/>
              <w:autoSpaceDE w:val="0"/>
              <w:autoSpaceDN w:val="0"/>
              <w:adjustRightInd w:val="0"/>
            </w:pPr>
            <w:r w:rsidRPr="000919D4">
              <w:rPr>
                <w:b/>
                <w:bCs/>
              </w:rPr>
              <w:t>Table 2</w:t>
            </w:r>
            <w:r w:rsidRPr="000919D4">
              <w:t>. Comparing OSOG to other grocery research tools</w:t>
            </w:r>
          </w:p>
        </w:tc>
      </w:tr>
      <w:tr w:rsidR="00F64F0C" w14:paraId="0C097ABA" w14:textId="77777777" w:rsidTr="00F64F0C">
        <w:tc>
          <w:tcPr>
            <w:tcW w:w="3244" w:type="dxa"/>
            <w:tcBorders>
              <w:top w:val="single" w:sz="4" w:space="0" w:color="auto"/>
              <w:bottom w:val="single" w:sz="4" w:space="0" w:color="auto"/>
            </w:tcBorders>
          </w:tcPr>
          <w:p w14:paraId="35B5CE48" w14:textId="77777777" w:rsidR="00F64F0C" w:rsidRDefault="00F64F0C" w:rsidP="00673D03">
            <w:pPr>
              <w:widowControl w:val="0"/>
              <w:autoSpaceDE w:val="0"/>
              <w:autoSpaceDN w:val="0"/>
              <w:adjustRightInd w:val="0"/>
            </w:pPr>
          </w:p>
        </w:tc>
        <w:tc>
          <w:tcPr>
            <w:tcW w:w="6111" w:type="dxa"/>
            <w:gridSpan w:val="4"/>
            <w:tcBorders>
              <w:top w:val="single" w:sz="4" w:space="0" w:color="auto"/>
              <w:bottom w:val="single" w:sz="4" w:space="0" w:color="auto"/>
            </w:tcBorders>
          </w:tcPr>
          <w:p w14:paraId="1AB77B7F" w14:textId="77777777" w:rsidR="00F64F0C" w:rsidRDefault="00F64F0C" w:rsidP="00673D03">
            <w:pPr>
              <w:widowControl w:val="0"/>
              <w:autoSpaceDE w:val="0"/>
              <w:autoSpaceDN w:val="0"/>
              <w:adjustRightInd w:val="0"/>
              <w:jc w:val="center"/>
            </w:pPr>
            <w:r>
              <w:t>Grocery Store</w:t>
            </w:r>
          </w:p>
        </w:tc>
      </w:tr>
      <w:tr w:rsidR="00F64F0C" w14:paraId="4BA5AC8C" w14:textId="77777777" w:rsidTr="00F64F0C">
        <w:tc>
          <w:tcPr>
            <w:tcW w:w="3244" w:type="dxa"/>
            <w:tcBorders>
              <w:top w:val="single" w:sz="4" w:space="0" w:color="auto"/>
              <w:bottom w:val="single" w:sz="4" w:space="0" w:color="auto"/>
            </w:tcBorders>
          </w:tcPr>
          <w:p w14:paraId="62B5DEE6" w14:textId="77777777" w:rsidR="00F64F0C" w:rsidRDefault="00F64F0C" w:rsidP="00673D03">
            <w:pPr>
              <w:widowControl w:val="0"/>
              <w:autoSpaceDE w:val="0"/>
              <w:autoSpaceDN w:val="0"/>
              <w:adjustRightInd w:val="0"/>
            </w:pPr>
          </w:p>
        </w:tc>
        <w:tc>
          <w:tcPr>
            <w:tcW w:w="1370" w:type="dxa"/>
            <w:tcBorders>
              <w:top w:val="single" w:sz="4" w:space="0" w:color="auto"/>
              <w:bottom w:val="single" w:sz="4" w:space="0" w:color="auto"/>
            </w:tcBorders>
            <w:vAlign w:val="center"/>
          </w:tcPr>
          <w:p w14:paraId="763519A2" w14:textId="77777777" w:rsidR="00F64F0C" w:rsidRDefault="00F64F0C" w:rsidP="00F64F0C">
            <w:pPr>
              <w:widowControl w:val="0"/>
              <w:autoSpaceDE w:val="0"/>
              <w:autoSpaceDN w:val="0"/>
              <w:adjustRightInd w:val="0"/>
              <w:jc w:val="center"/>
            </w:pPr>
            <w:r>
              <w:t>OSOG</w:t>
            </w:r>
          </w:p>
        </w:tc>
        <w:tc>
          <w:tcPr>
            <w:tcW w:w="1511" w:type="dxa"/>
            <w:tcBorders>
              <w:top w:val="single" w:sz="4" w:space="0" w:color="auto"/>
              <w:bottom w:val="single" w:sz="4" w:space="0" w:color="auto"/>
            </w:tcBorders>
            <w:vAlign w:val="center"/>
          </w:tcPr>
          <w:p w14:paraId="6E255442" w14:textId="77777777" w:rsidR="00F64F0C" w:rsidRDefault="00F64F0C" w:rsidP="00F64F0C">
            <w:pPr>
              <w:widowControl w:val="0"/>
              <w:autoSpaceDE w:val="0"/>
              <w:autoSpaceDN w:val="0"/>
              <w:adjustRightInd w:val="0"/>
              <w:jc w:val="center"/>
            </w:pPr>
            <w:proofErr w:type="spellStart"/>
            <w:r>
              <w:t>NUMSmart</w:t>
            </w:r>
            <w:proofErr w:type="spellEnd"/>
          </w:p>
        </w:tc>
        <w:tc>
          <w:tcPr>
            <w:tcW w:w="1628" w:type="dxa"/>
            <w:tcBorders>
              <w:top w:val="single" w:sz="4" w:space="0" w:color="auto"/>
              <w:bottom w:val="single" w:sz="4" w:space="0" w:color="auto"/>
            </w:tcBorders>
            <w:vAlign w:val="center"/>
          </w:tcPr>
          <w:p w14:paraId="291E6449" w14:textId="77777777" w:rsidR="00F64F0C" w:rsidRDefault="00F64F0C" w:rsidP="00F64F0C">
            <w:pPr>
              <w:widowControl w:val="0"/>
              <w:autoSpaceDE w:val="0"/>
              <w:autoSpaceDN w:val="0"/>
              <w:adjustRightInd w:val="0"/>
              <w:jc w:val="center"/>
            </w:pPr>
            <w:r>
              <w:t xml:space="preserve">Dutch SN </w:t>
            </w:r>
            <w:proofErr w:type="spellStart"/>
            <w:r>
              <w:t>Virtumart</w:t>
            </w:r>
            <w:proofErr w:type="spellEnd"/>
          </w:p>
        </w:tc>
        <w:tc>
          <w:tcPr>
            <w:tcW w:w="1602" w:type="dxa"/>
            <w:tcBorders>
              <w:top w:val="single" w:sz="4" w:space="0" w:color="auto"/>
              <w:bottom w:val="single" w:sz="4" w:space="0" w:color="auto"/>
            </w:tcBorders>
            <w:vAlign w:val="center"/>
          </w:tcPr>
          <w:p w14:paraId="0DFA0530" w14:textId="77777777" w:rsidR="00F64F0C" w:rsidRDefault="00F64F0C" w:rsidP="00F64F0C">
            <w:pPr>
              <w:widowControl w:val="0"/>
              <w:autoSpaceDE w:val="0"/>
              <w:autoSpaceDN w:val="0"/>
              <w:adjustRightInd w:val="0"/>
              <w:jc w:val="center"/>
            </w:pPr>
            <w:r>
              <w:t>The Virtual Supermarket</w:t>
            </w:r>
          </w:p>
        </w:tc>
      </w:tr>
      <w:tr w:rsidR="00F64F0C" w14:paraId="144018DE" w14:textId="77777777" w:rsidTr="00F64F0C">
        <w:tc>
          <w:tcPr>
            <w:tcW w:w="3244" w:type="dxa"/>
            <w:tcBorders>
              <w:top w:val="single" w:sz="4" w:space="0" w:color="auto"/>
            </w:tcBorders>
          </w:tcPr>
          <w:p w14:paraId="2DD953D9" w14:textId="77777777" w:rsidR="00F64F0C" w:rsidRPr="00F64F0C" w:rsidRDefault="00F64F0C" w:rsidP="00673D03">
            <w:pPr>
              <w:widowControl w:val="0"/>
              <w:autoSpaceDE w:val="0"/>
              <w:autoSpaceDN w:val="0"/>
              <w:adjustRightInd w:val="0"/>
              <w:rPr>
                <w:sz w:val="22"/>
                <w:szCs w:val="22"/>
              </w:rPr>
            </w:pPr>
            <w:r w:rsidRPr="00F64F0C">
              <w:rPr>
                <w:sz w:val="22"/>
                <w:szCs w:val="22"/>
              </w:rPr>
              <w:t>Style</w:t>
            </w:r>
          </w:p>
        </w:tc>
        <w:tc>
          <w:tcPr>
            <w:tcW w:w="1370" w:type="dxa"/>
            <w:tcBorders>
              <w:top w:val="single" w:sz="4" w:space="0" w:color="auto"/>
            </w:tcBorders>
            <w:vAlign w:val="center"/>
          </w:tcPr>
          <w:p w14:paraId="05726F45" w14:textId="77777777" w:rsidR="00F64F0C" w:rsidRDefault="00F64F0C" w:rsidP="00F64F0C">
            <w:pPr>
              <w:widowControl w:val="0"/>
              <w:autoSpaceDE w:val="0"/>
              <w:autoSpaceDN w:val="0"/>
              <w:adjustRightInd w:val="0"/>
              <w:jc w:val="center"/>
            </w:pPr>
            <w:r>
              <w:t>Online Grocery Store</w:t>
            </w:r>
          </w:p>
        </w:tc>
        <w:tc>
          <w:tcPr>
            <w:tcW w:w="1511" w:type="dxa"/>
            <w:tcBorders>
              <w:top w:val="single" w:sz="4" w:space="0" w:color="auto"/>
            </w:tcBorders>
            <w:vAlign w:val="center"/>
          </w:tcPr>
          <w:p w14:paraId="12236FD4" w14:textId="77777777" w:rsidR="00F64F0C" w:rsidRDefault="00F64F0C" w:rsidP="00F64F0C">
            <w:pPr>
              <w:widowControl w:val="0"/>
              <w:autoSpaceDE w:val="0"/>
              <w:autoSpaceDN w:val="0"/>
              <w:adjustRightInd w:val="0"/>
              <w:jc w:val="center"/>
            </w:pPr>
            <w:r>
              <w:t>Online Grocery Store</w:t>
            </w:r>
          </w:p>
        </w:tc>
        <w:tc>
          <w:tcPr>
            <w:tcW w:w="1628" w:type="dxa"/>
            <w:tcBorders>
              <w:top w:val="single" w:sz="4" w:space="0" w:color="auto"/>
            </w:tcBorders>
            <w:vAlign w:val="center"/>
          </w:tcPr>
          <w:p w14:paraId="7485CF9C" w14:textId="77777777" w:rsidR="00F64F0C" w:rsidRDefault="00F64F0C" w:rsidP="00F64F0C">
            <w:pPr>
              <w:widowControl w:val="0"/>
              <w:autoSpaceDE w:val="0"/>
              <w:autoSpaceDN w:val="0"/>
              <w:adjustRightInd w:val="0"/>
              <w:jc w:val="center"/>
            </w:pPr>
            <w:r>
              <w:t>VR</w:t>
            </w:r>
          </w:p>
        </w:tc>
        <w:tc>
          <w:tcPr>
            <w:tcW w:w="1602" w:type="dxa"/>
            <w:tcBorders>
              <w:top w:val="single" w:sz="4" w:space="0" w:color="auto"/>
            </w:tcBorders>
            <w:vAlign w:val="center"/>
          </w:tcPr>
          <w:p w14:paraId="4C7A8B55" w14:textId="77777777" w:rsidR="00F64F0C" w:rsidRDefault="00F64F0C" w:rsidP="00F64F0C">
            <w:pPr>
              <w:widowControl w:val="0"/>
              <w:autoSpaceDE w:val="0"/>
              <w:autoSpaceDN w:val="0"/>
              <w:adjustRightInd w:val="0"/>
              <w:jc w:val="center"/>
            </w:pPr>
            <w:r>
              <w:t>VR</w:t>
            </w:r>
          </w:p>
        </w:tc>
      </w:tr>
      <w:tr w:rsidR="00F64F0C" w:rsidRPr="00F64F0C" w14:paraId="12F7A885" w14:textId="77777777" w:rsidTr="00F64F0C">
        <w:tc>
          <w:tcPr>
            <w:tcW w:w="3244" w:type="dxa"/>
          </w:tcPr>
          <w:p w14:paraId="3C3CDF4B" w14:textId="77777777" w:rsidR="00F64F0C" w:rsidRPr="00F64F0C" w:rsidRDefault="00F64F0C" w:rsidP="00673D03">
            <w:pPr>
              <w:widowControl w:val="0"/>
              <w:autoSpaceDE w:val="0"/>
              <w:autoSpaceDN w:val="0"/>
              <w:adjustRightInd w:val="0"/>
              <w:rPr>
                <w:sz w:val="10"/>
                <w:szCs w:val="10"/>
              </w:rPr>
            </w:pPr>
          </w:p>
        </w:tc>
        <w:tc>
          <w:tcPr>
            <w:tcW w:w="1370" w:type="dxa"/>
            <w:vAlign w:val="center"/>
          </w:tcPr>
          <w:p w14:paraId="064F0795" w14:textId="77777777" w:rsidR="00F64F0C" w:rsidRPr="00F64F0C" w:rsidRDefault="00F64F0C" w:rsidP="00F64F0C">
            <w:pPr>
              <w:widowControl w:val="0"/>
              <w:autoSpaceDE w:val="0"/>
              <w:autoSpaceDN w:val="0"/>
              <w:adjustRightInd w:val="0"/>
              <w:jc w:val="center"/>
              <w:rPr>
                <w:sz w:val="10"/>
                <w:szCs w:val="10"/>
              </w:rPr>
            </w:pPr>
          </w:p>
        </w:tc>
        <w:tc>
          <w:tcPr>
            <w:tcW w:w="1511" w:type="dxa"/>
            <w:vAlign w:val="center"/>
          </w:tcPr>
          <w:p w14:paraId="20E28F9C" w14:textId="77777777" w:rsidR="00F64F0C" w:rsidRPr="00F64F0C" w:rsidRDefault="00F64F0C" w:rsidP="00F64F0C">
            <w:pPr>
              <w:widowControl w:val="0"/>
              <w:autoSpaceDE w:val="0"/>
              <w:autoSpaceDN w:val="0"/>
              <w:adjustRightInd w:val="0"/>
              <w:jc w:val="center"/>
              <w:rPr>
                <w:sz w:val="10"/>
                <w:szCs w:val="10"/>
              </w:rPr>
            </w:pPr>
          </w:p>
        </w:tc>
        <w:tc>
          <w:tcPr>
            <w:tcW w:w="1628" w:type="dxa"/>
            <w:vAlign w:val="center"/>
          </w:tcPr>
          <w:p w14:paraId="2EAC1B28" w14:textId="77777777" w:rsidR="00F64F0C" w:rsidRPr="00F64F0C" w:rsidRDefault="00F64F0C" w:rsidP="00F64F0C">
            <w:pPr>
              <w:widowControl w:val="0"/>
              <w:autoSpaceDE w:val="0"/>
              <w:autoSpaceDN w:val="0"/>
              <w:adjustRightInd w:val="0"/>
              <w:jc w:val="center"/>
              <w:rPr>
                <w:sz w:val="10"/>
                <w:szCs w:val="10"/>
              </w:rPr>
            </w:pPr>
          </w:p>
        </w:tc>
        <w:tc>
          <w:tcPr>
            <w:tcW w:w="1602" w:type="dxa"/>
            <w:vAlign w:val="center"/>
          </w:tcPr>
          <w:p w14:paraId="1B9A8BF3" w14:textId="77777777" w:rsidR="00F64F0C" w:rsidRPr="00F64F0C" w:rsidRDefault="00F64F0C" w:rsidP="00F64F0C">
            <w:pPr>
              <w:widowControl w:val="0"/>
              <w:autoSpaceDE w:val="0"/>
              <w:autoSpaceDN w:val="0"/>
              <w:adjustRightInd w:val="0"/>
              <w:jc w:val="center"/>
              <w:rPr>
                <w:sz w:val="10"/>
                <w:szCs w:val="10"/>
              </w:rPr>
            </w:pPr>
          </w:p>
        </w:tc>
      </w:tr>
      <w:tr w:rsidR="00F64F0C" w14:paraId="434CE7CC" w14:textId="77777777" w:rsidTr="00F64F0C">
        <w:tc>
          <w:tcPr>
            <w:tcW w:w="3244" w:type="dxa"/>
          </w:tcPr>
          <w:p w14:paraId="7A06C015" w14:textId="55418F20" w:rsidR="00F64F0C" w:rsidRPr="00F64F0C" w:rsidRDefault="00F64F0C" w:rsidP="00673D03">
            <w:pPr>
              <w:widowControl w:val="0"/>
              <w:autoSpaceDE w:val="0"/>
              <w:autoSpaceDN w:val="0"/>
              <w:adjustRightInd w:val="0"/>
              <w:rPr>
                <w:sz w:val="22"/>
                <w:szCs w:val="22"/>
              </w:rPr>
            </w:pPr>
            <w:r w:rsidRPr="00F64F0C">
              <w:rPr>
                <w:sz w:val="22"/>
                <w:szCs w:val="22"/>
              </w:rPr>
              <w:t xml:space="preserve">Cost to </w:t>
            </w:r>
            <w:r>
              <w:rPr>
                <w:sz w:val="22"/>
                <w:szCs w:val="22"/>
              </w:rPr>
              <w:t>r</w:t>
            </w:r>
            <w:r w:rsidRPr="00F64F0C">
              <w:rPr>
                <w:sz w:val="22"/>
                <w:szCs w:val="22"/>
              </w:rPr>
              <w:t>esearchers</w:t>
            </w:r>
          </w:p>
        </w:tc>
        <w:tc>
          <w:tcPr>
            <w:tcW w:w="1370" w:type="dxa"/>
            <w:vAlign w:val="center"/>
          </w:tcPr>
          <w:p w14:paraId="7003D1BF" w14:textId="77777777" w:rsidR="00F64F0C" w:rsidRDefault="00F64F0C" w:rsidP="00F64F0C">
            <w:pPr>
              <w:widowControl w:val="0"/>
              <w:autoSpaceDE w:val="0"/>
              <w:autoSpaceDN w:val="0"/>
              <w:adjustRightInd w:val="0"/>
              <w:jc w:val="center"/>
            </w:pPr>
            <w:r>
              <w:t>Free</w:t>
            </w:r>
          </w:p>
        </w:tc>
        <w:tc>
          <w:tcPr>
            <w:tcW w:w="1511" w:type="dxa"/>
            <w:vAlign w:val="center"/>
          </w:tcPr>
          <w:p w14:paraId="5D9290C9" w14:textId="77777777" w:rsidR="00F64F0C" w:rsidRDefault="00F64F0C" w:rsidP="00F64F0C">
            <w:pPr>
              <w:widowControl w:val="0"/>
              <w:autoSpaceDE w:val="0"/>
              <w:autoSpaceDN w:val="0"/>
              <w:adjustRightInd w:val="0"/>
              <w:jc w:val="center"/>
            </w:pPr>
            <w:r>
              <w:t>Free</w:t>
            </w:r>
          </w:p>
        </w:tc>
        <w:tc>
          <w:tcPr>
            <w:tcW w:w="1628" w:type="dxa"/>
            <w:vAlign w:val="center"/>
          </w:tcPr>
          <w:p w14:paraId="5AC9475C" w14:textId="77777777" w:rsidR="00F64F0C" w:rsidRDefault="00F64F0C" w:rsidP="00F64F0C">
            <w:pPr>
              <w:widowControl w:val="0"/>
              <w:autoSpaceDE w:val="0"/>
              <w:autoSpaceDN w:val="0"/>
              <w:adjustRightInd w:val="0"/>
              <w:jc w:val="center"/>
            </w:pPr>
            <w:r>
              <w:t>Free</w:t>
            </w:r>
          </w:p>
        </w:tc>
        <w:tc>
          <w:tcPr>
            <w:tcW w:w="1602" w:type="dxa"/>
            <w:vAlign w:val="center"/>
          </w:tcPr>
          <w:p w14:paraId="76C3742D" w14:textId="77777777" w:rsidR="00F64F0C" w:rsidRDefault="00F64F0C" w:rsidP="00F64F0C">
            <w:pPr>
              <w:widowControl w:val="0"/>
              <w:autoSpaceDE w:val="0"/>
              <w:autoSpaceDN w:val="0"/>
              <w:adjustRightInd w:val="0"/>
              <w:jc w:val="center"/>
            </w:pPr>
            <w:r>
              <w:t>Free</w:t>
            </w:r>
          </w:p>
        </w:tc>
      </w:tr>
      <w:tr w:rsidR="00F64F0C" w14:paraId="7F7B2D41" w14:textId="77777777" w:rsidTr="00F64F0C">
        <w:tc>
          <w:tcPr>
            <w:tcW w:w="3244" w:type="dxa"/>
          </w:tcPr>
          <w:p w14:paraId="6D5CFF57" w14:textId="77777777" w:rsidR="00F64F0C" w:rsidRPr="00F64F0C" w:rsidRDefault="00F64F0C" w:rsidP="00673D03">
            <w:pPr>
              <w:widowControl w:val="0"/>
              <w:autoSpaceDE w:val="0"/>
              <w:autoSpaceDN w:val="0"/>
              <w:adjustRightInd w:val="0"/>
              <w:rPr>
                <w:sz w:val="10"/>
                <w:szCs w:val="10"/>
              </w:rPr>
            </w:pPr>
          </w:p>
        </w:tc>
        <w:tc>
          <w:tcPr>
            <w:tcW w:w="1370" w:type="dxa"/>
            <w:vAlign w:val="center"/>
          </w:tcPr>
          <w:p w14:paraId="23BCA52B" w14:textId="77777777" w:rsidR="00F64F0C" w:rsidRPr="00F64F0C" w:rsidRDefault="00F64F0C" w:rsidP="00F64F0C">
            <w:pPr>
              <w:widowControl w:val="0"/>
              <w:autoSpaceDE w:val="0"/>
              <w:autoSpaceDN w:val="0"/>
              <w:adjustRightInd w:val="0"/>
              <w:jc w:val="center"/>
              <w:rPr>
                <w:sz w:val="10"/>
                <w:szCs w:val="10"/>
              </w:rPr>
            </w:pPr>
          </w:p>
        </w:tc>
        <w:tc>
          <w:tcPr>
            <w:tcW w:w="1511" w:type="dxa"/>
            <w:vAlign w:val="center"/>
          </w:tcPr>
          <w:p w14:paraId="17192024" w14:textId="77777777" w:rsidR="00F64F0C" w:rsidRPr="00F64F0C" w:rsidRDefault="00F64F0C" w:rsidP="00F64F0C">
            <w:pPr>
              <w:widowControl w:val="0"/>
              <w:autoSpaceDE w:val="0"/>
              <w:autoSpaceDN w:val="0"/>
              <w:adjustRightInd w:val="0"/>
              <w:jc w:val="center"/>
              <w:rPr>
                <w:sz w:val="10"/>
                <w:szCs w:val="10"/>
              </w:rPr>
            </w:pPr>
          </w:p>
        </w:tc>
        <w:tc>
          <w:tcPr>
            <w:tcW w:w="1628" w:type="dxa"/>
            <w:vAlign w:val="center"/>
          </w:tcPr>
          <w:p w14:paraId="39F2BD6D" w14:textId="77777777" w:rsidR="00F64F0C" w:rsidRPr="00F64F0C" w:rsidRDefault="00F64F0C" w:rsidP="00F64F0C">
            <w:pPr>
              <w:widowControl w:val="0"/>
              <w:autoSpaceDE w:val="0"/>
              <w:autoSpaceDN w:val="0"/>
              <w:adjustRightInd w:val="0"/>
              <w:jc w:val="center"/>
              <w:rPr>
                <w:sz w:val="10"/>
                <w:szCs w:val="10"/>
              </w:rPr>
            </w:pPr>
          </w:p>
        </w:tc>
        <w:tc>
          <w:tcPr>
            <w:tcW w:w="1602" w:type="dxa"/>
            <w:vAlign w:val="center"/>
          </w:tcPr>
          <w:p w14:paraId="3059C8DA" w14:textId="77777777" w:rsidR="00F64F0C" w:rsidRPr="00F64F0C" w:rsidRDefault="00F64F0C" w:rsidP="00F64F0C">
            <w:pPr>
              <w:widowControl w:val="0"/>
              <w:autoSpaceDE w:val="0"/>
              <w:autoSpaceDN w:val="0"/>
              <w:adjustRightInd w:val="0"/>
              <w:jc w:val="center"/>
              <w:rPr>
                <w:sz w:val="10"/>
                <w:szCs w:val="10"/>
              </w:rPr>
            </w:pPr>
          </w:p>
        </w:tc>
      </w:tr>
      <w:tr w:rsidR="00F64F0C" w14:paraId="35BB85BC" w14:textId="77777777" w:rsidTr="00F64F0C">
        <w:tc>
          <w:tcPr>
            <w:tcW w:w="3244" w:type="dxa"/>
          </w:tcPr>
          <w:p w14:paraId="786543EA" w14:textId="1884AE39" w:rsidR="00F64F0C" w:rsidRPr="00F64F0C" w:rsidRDefault="00F64F0C" w:rsidP="00673D03">
            <w:pPr>
              <w:widowControl w:val="0"/>
              <w:autoSpaceDE w:val="0"/>
              <w:autoSpaceDN w:val="0"/>
              <w:adjustRightInd w:val="0"/>
              <w:rPr>
                <w:sz w:val="22"/>
                <w:szCs w:val="22"/>
              </w:rPr>
            </w:pPr>
            <w:r w:rsidRPr="00F64F0C">
              <w:rPr>
                <w:sz w:val="22"/>
                <w:szCs w:val="22"/>
              </w:rPr>
              <w:t xml:space="preserve">Number of </w:t>
            </w:r>
            <w:r>
              <w:rPr>
                <w:sz w:val="22"/>
                <w:szCs w:val="22"/>
              </w:rPr>
              <w:t>p</w:t>
            </w:r>
            <w:r w:rsidRPr="00F64F0C">
              <w:rPr>
                <w:sz w:val="22"/>
                <w:szCs w:val="22"/>
              </w:rPr>
              <w:t>roducts</w:t>
            </w:r>
          </w:p>
        </w:tc>
        <w:tc>
          <w:tcPr>
            <w:tcW w:w="1370" w:type="dxa"/>
            <w:vAlign w:val="center"/>
          </w:tcPr>
          <w:p w14:paraId="5FEB5ACC" w14:textId="77777777" w:rsidR="00F64F0C" w:rsidRDefault="00F64F0C" w:rsidP="00F64F0C">
            <w:pPr>
              <w:widowControl w:val="0"/>
              <w:autoSpaceDE w:val="0"/>
              <w:autoSpaceDN w:val="0"/>
              <w:adjustRightInd w:val="0"/>
              <w:jc w:val="center"/>
            </w:pPr>
            <w:r>
              <w:t>11,000</w:t>
            </w:r>
          </w:p>
        </w:tc>
        <w:tc>
          <w:tcPr>
            <w:tcW w:w="1511" w:type="dxa"/>
            <w:vAlign w:val="center"/>
          </w:tcPr>
          <w:p w14:paraId="63072870" w14:textId="77777777" w:rsidR="00F64F0C" w:rsidRDefault="00F64F0C" w:rsidP="00F64F0C">
            <w:pPr>
              <w:widowControl w:val="0"/>
              <w:autoSpaceDE w:val="0"/>
              <w:autoSpaceDN w:val="0"/>
              <w:adjustRightInd w:val="0"/>
              <w:jc w:val="center"/>
            </w:pPr>
            <w:r>
              <w:t>4,000</w:t>
            </w:r>
          </w:p>
        </w:tc>
        <w:tc>
          <w:tcPr>
            <w:tcW w:w="1628" w:type="dxa"/>
            <w:vAlign w:val="center"/>
          </w:tcPr>
          <w:p w14:paraId="24A732D8" w14:textId="77777777" w:rsidR="00F64F0C" w:rsidRDefault="00F64F0C" w:rsidP="00F64F0C">
            <w:pPr>
              <w:widowControl w:val="0"/>
              <w:autoSpaceDE w:val="0"/>
              <w:autoSpaceDN w:val="0"/>
              <w:adjustRightInd w:val="0"/>
              <w:jc w:val="center"/>
            </w:pPr>
            <w:r>
              <w:t>1,200</w:t>
            </w:r>
          </w:p>
        </w:tc>
        <w:tc>
          <w:tcPr>
            <w:tcW w:w="1602" w:type="dxa"/>
            <w:vAlign w:val="center"/>
          </w:tcPr>
          <w:p w14:paraId="3D56605C" w14:textId="77777777" w:rsidR="00F64F0C" w:rsidRDefault="00F64F0C" w:rsidP="00F64F0C">
            <w:pPr>
              <w:widowControl w:val="0"/>
              <w:autoSpaceDE w:val="0"/>
              <w:autoSpaceDN w:val="0"/>
              <w:adjustRightInd w:val="0"/>
              <w:jc w:val="center"/>
            </w:pPr>
            <w:r>
              <w:t>700</w:t>
            </w:r>
          </w:p>
        </w:tc>
      </w:tr>
      <w:tr w:rsidR="00F64F0C" w14:paraId="6CCC5B1E" w14:textId="77777777" w:rsidTr="00F64F0C">
        <w:tc>
          <w:tcPr>
            <w:tcW w:w="3244" w:type="dxa"/>
          </w:tcPr>
          <w:p w14:paraId="3CFDD5F5" w14:textId="77777777" w:rsidR="00F64F0C" w:rsidRPr="00F64F0C" w:rsidRDefault="00F64F0C" w:rsidP="00673D03">
            <w:pPr>
              <w:widowControl w:val="0"/>
              <w:autoSpaceDE w:val="0"/>
              <w:autoSpaceDN w:val="0"/>
              <w:adjustRightInd w:val="0"/>
              <w:rPr>
                <w:sz w:val="10"/>
                <w:szCs w:val="10"/>
              </w:rPr>
            </w:pPr>
          </w:p>
        </w:tc>
        <w:tc>
          <w:tcPr>
            <w:tcW w:w="1370" w:type="dxa"/>
            <w:vAlign w:val="center"/>
          </w:tcPr>
          <w:p w14:paraId="7105EFD1" w14:textId="77777777" w:rsidR="00F64F0C" w:rsidRPr="00F64F0C" w:rsidRDefault="00F64F0C" w:rsidP="00F64F0C">
            <w:pPr>
              <w:widowControl w:val="0"/>
              <w:autoSpaceDE w:val="0"/>
              <w:autoSpaceDN w:val="0"/>
              <w:adjustRightInd w:val="0"/>
              <w:jc w:val="center"/>
              <w:rPr>
                <w:sz w:val="10"/>
                <w:szCs w:val="10"/>
              </w:rPr>
            </w:pPr>
          </w:p>
        </w:tc>
        <w:tc>
          <w:tcPr>
            <w:tcW w:w="1511" w:type="dxa"/>
            <w:vAlign w:val="center"/>
          </w:tcPr>
          <w:p w14:paraId="0BCE20A3" w14:textId="77777777" w:rsidR="00F64F0C" w:rsidRPr="00F64F0C" w:rsidRDefault="00F64F0C" w:rsidP="00F64F0C">
            <w:pPr>
              <w:widowControl w:val="0"/>
              <w:autoSpaceDE w:val="0"/>
              <w:autoSpaceDN w:val="0"/>
              <w:adjustRightInd w:val="0"/>
              <w:jc w:val="center"/>
              <w:rPr>
                <w:sz w:val="10"/>
                <w:szCs w:val="10"/>
              </w:rPr>
            </w:pPr>
          </w:p>
        </w:tc>
        <w:tc>
          <w:tcPr>
            <w:tcW w:w="1628" w:type="dxa"/>
            <w:vAlign w:val="center"/>
          </w:tcPr>
          <w:p w14:paraId="7DC6BC7E" w14:textId="77777777" w:rsidR="00F64F0C" w:rsidRPr="00F64F0C" w:rsidRDefault="00F64F0C" w:rsidP="00F64F0C">
            <w:pPr>
              <w:widowControl w:val="0"/>
              <w:autoSpaceDE w:val="0"/>
              <w:autoSpaceDN w:val="0"/>
              <w:adjustRightInd w:val="0"/>
              <w:jc w:val="center"/>
              <w:rPr>
                <w:sz w:val="10"/>
                <w:szCs w:val="10"/>
              </w:rPr>
            </w:pPr>
          </w:p>
        </w:tc>
        <w:tc>
          <w:tcPr>
            <w:tcW w:w="1602" w:type="dxa"/>
            <w:vAlign w:val="center"/>
          </w:tcPr>
          <w:p w14:paraId="4C3A1F37" w14:textId="77777777" w:rsidR="00F64F0C" w:rsidRPr="00F64F0C" w:rsidRDefault="00F64F0C" w:rsidP="00F64F0C">
            <w:pPr>
              <w:widowControl w:val="0"/>
              <w:autoSpaceDE w:val="0"/>
              <w:autoSpaceDN w:val="0"/>
              <w:adjustRightInd w:val="0"/>
              <w:jc w:val="center"/>
              <w:rPr>
                <w:sz w:val="10"/>
                <w:szCs w:val="10"/>
              </w:rPr>
            </w:pPr>
          </w:p>
        </w:tc>
      </w:tr>
      <w:tr w:rsidR="00F64F0C" w14:paraId="2E24192F" w14:textId="77777777" w:rsidTr="00F64F0C">
        <w:tc>
          <w:tcPr>
            <w:tcW w:w="3244" w:type="dxa"/>
          </w:tcPr>
          <w:p w14:paraId="76064EBE" w14:textId="1DE2013D" w:rsidR="00F64F0C" w:rsidRPr="00F64F0C" w:rsidRDefault="00F64F0C" w:rsidP="00673D03">
            <w:pPr>
              <w:widowControl w:val="0"/>
              <w:autoSpaceDE w:val="0"/>
              <w:autoSpaceDN w:val="0"/>
              <w:adjustRightInd w:val="0"/>
              <w:rPr>
                <w:sz w:val="22"/>
                <w:szCs w:val="22"/>
              </w:rPr>
            </w:pPr>
            <w:r w:rsidRPr="00F64F0C">
              <w:rPr>
                <w:sz w:val="22"/>
                <w:szCs w:val="22"/>
              </w:rPr>
              <w:t xml:space="preserve">Country </w:t>
            </w:r>
            <w:r>
              <w:rPr>
                <w:sz w:val="22"/>
                <w:szCs w:val="22"/>
              </w:rPr>
              <w:t>where products are sold</w:t>
            </w:r>
            <w:r w:rsidRPr="00F64F0C">
              <w:rPr>
                <w:sz w:val="22"/>
                <w:szCs w:val="22"/>
              </w:rPr>
              <w:t xml:space="preserve"> </w:t>
            </w:r>
          </w:p>
        </w:tc>
        <w:tc>
          <w:tcPr>
            <w:tcW w:w="1370" w:type="dxa"/>
            <w:vAlign w:val="center"/>
          </w:tcPr>
          <w:p w14:paraId="6B07B9DE" w14:textId="77777777" w:rsidR="00F64F0C" w:rsidRDefault="00F64F0C" w:rsidP="00F64F0C">
            <w:pPr>
              <w:widowControl w:val="0"/>
              <w:autoSpaceDE w:val="0"/>
              <w:autoSpaceDN w:val="0"/>
              <w:adjustRightInd w:val="0"/>
              <w:jc w:val="center"/>
            </w:pPr>
            <w:r>
              <w:t>USA</w:t>
            </w:r>
          </w:p>
        </w:tc>
        <w:tc>
          <w:tcPr>
            <w:tcW w:w="1511" w:type="dxa"/>
            <w:vAlign w:val="center"/>
          </w:tcPr>
          <w:p w14:paraId="22727AC1" w14:textId="77777777" w:rsidR="00F64F0C" w:rsidRDefault="00F64F0C" w:rsidP="00F64F0C">
            <w:pPr>
              <w:widowControl w:val="0"/>
              <w:autoSpaceDE w:val="0"/>
              <w:autoSpaceDN w:val="0"/>
              <w:adjustRightInd w:val="0"/>
              <w:jc w:val="center"/>
            </w:pPr>
            <w:r>
              <w:t>Singapore</w:t>
            </w:r>
          </w:p>
        </w:tc>
        <w:tc>
          <w:tcPr>
            <w:tcW w:w="1628" w:type="dxa"/>
            <w:vAlign w:val="center"/>
          </w:tcPr>
          <w:p w14:paraId="1CDBF065" w14:textId="77777777" w:rsidR="00F64F0C" w:rsidRDefault="00F64F0C" w:rsidP="00F64F0C">
            <w:pPr>
              <w:widowControl w:val="0"/>
              <w:autoSpaceDE w:val="0"/>
              <w:autoSpaceDN w:val="0"/>
              <w:adjustRightInd w:val="0"/>
              <w:jc w:val="center"/>
            </w:pPr>
            <w:r>
              <w:t>Netherlands</w:t>
            </w:r>
          </w:p>
        </w:tc>
        <w:tc>
          <w:tcPr>
            <w:tcW w:w="1602" w:type="dxa"/>
            <w:vAlign w:val="center"/>
          </w:tcPr>
          <w:p w14:paraId="3CA20199" w14:textId="77777777" w:rsidR="00F64F0C" w:rsidRDefault="00F64F0C" w:rsidP="00F64F0C">
            <w:pPr>
              <w:widowControl w:val="0"/>
              <w:autoSpaceDE w:val="0"/>
              <w:autoSpaceDN w:val="0"/>
              <w:adjustRightInd w:val="0"/>
              <w:jc w:val="center"/>
            </w:pPr>
            <w:r>
              <w:t>Netherlands</w:t>
            </w:r>
          </w:p>
        </w:tc>
      </w:tr>
      <w:tr w:rsidR="00F64F0C" w14:paraId="43A32DB8" w14:textId="77777777" w:rsidTr="00F64F0C">
        <w:tc>
          <w:tcPr>
            <w:tcW w:w="3244" w:type="dxa"/>
          </w:tcPr>
          <w:p w14:paraId="598D8650" w14:textId="77777777" w:rsidR="00F64F0C" w:rsidRPr="00F64F0C" w:rsidRDefault="00F64F0C" w:rsidP="00673D03">
            <w:pPr>
              <w:widowControl w:val="0"/>
              <w:autoSpaceDE w:val="0"/>
              <w:autoSpaceDN w:val="0"/>
              <w:adjustRightInd w:val="0"/>
              <w:rPr>
                <w:sz w:val="10"/>
                <w:szCs w:val="10"/>
              </w:rPr>
            </w:pPr>
          </w:p>
        </w:tc>
        <w:tc>
          <w:tcPr>
            <w:tcW w:w="1370" w:type="dxa"/>
            <w:vAlign w:val="center"/>
          </w:tcPr>
          <w:p w14:paraId="25667F82" w14:textId="77777777" w:rsidR="00F64F0C" w:rsidRPr="00F64F0C" w:rsidRDefault="00F64F0C" w:rsidP="00F64F0C">
            <w:pPr>
              <w:widowControl w:val="0"/>
              <w:autoSpaceDE w:val="0"/>
              <w:autoSpaceDN w:val="0"/>
              <w:adjustRightInd w:val="0"/>
              <w:jc w:val="center"/>
              <w:rPr>
                <w:sz w:val="10"/>
                <w:szCs w:val="10"/>
              </w:rPr>
            </w:pPr>
          </w:p>
        </w:tc>
        <w:tc>
          <w:tcPr>
            <w:tcW w:w="1511" w:type="dxa"/>
            <w:vAlign w:val="center"/>
          </w:tcPr>
          <w:p w14:paraId="68366CE6" w14:textId="77777777" w:rsidR="00F64F0C" w:rsidRPr="00F64F0C" w:rsidRDefault="00F64F0C" w:rsidP="00F64F0C">
            <w:pPr>
              <w:widowControl w:val="0"/>
              <w:autoSpaceDE w:val="0"/>
              <w:autoSpaceDN w:val="0"/>
              <w:adjustRightInd w:val="0"/>
              <w:jc w:val="center"/>
              <w:rPr>
                <w:sz w:val="10"/>
                <w:szCs w:val="10"/>
              </w:rPr>
            </w:pPr>
          </w:p>
        </w:tc>
        <w:tc>
          <w:tcPr>
            <w:tcW w:w="1628" w:type="dxa"/>
            <w:vAlign w:val="center"/>
          </w:tcPr>
          <w:p w14:paraId="0AFCA91F" w14:textId="77777777" w:rsidR="00F64F0C" w:rsidRPr="00F64F0C" w:rsidRDefault="00F64F0C" w:rsidP="00F64F0C">
            <w:pPr>
              <w:widowControl w:val="0"/>
              <w:autoSpaceDE w:val="0"/>
              <w:autoSpaceDN w:val="0"/>
              <w:adjustRightInd w:val="0"/>
              <w:jc w:val="center"/>
              <w:rPr>
                <w:sz w:val="10"/>
                <w:szCs w:val="10"/>
              </w:rPr>
            </w:pPr>
          </w:p>
        </w:tc>
        <w:tc>
          <w:tcPr>
            <w:tcW w:w="1602" w:type="dxa"/>
            <w:vAlign w:val="center"/>
          </w:tcPr>
          <w:p w14:paraId="19F0BD84" w14:textId="77777777" w:rsidR="00F64F0C" w:rsidRPr="00F64F0C" w:rsidRDefault="00F64F0C" w:rsidP="00F64F0C">
            <w:pPr>
              <w:widowControl w:val="0"/>
              <w:autoSpaceDE w:val="0"/>
              <w:autoSpaceDN w:val="0"/>
              <w:adjustRightInd w:val="0"/>
              <w:jc w:val="center"/>
              <w:rPr>
                <w:sz w:val="10"/>
                <w:szCs w:val="10"/>
              </w:rPr>
            </w:pPr>
          </w:p>
        </w:tc>
      </w:tr>
      <w:tr w:rsidR="00F64F0C" w14:paraId="68E5BF9F" w14:textId="77777777" w:rsidTr="00F64F0C">
        <w:tc>
          <w:tcPr>
            <w:tcW w:w="3244" w:type="dxa"/>
          </w:tcPr>
          <w:p w14:paraId="39E6E84E" w14:textId="6F56B3EB" w:rsidR="00F64F0C" w:rsidRPr="00F64F0C" w:rsidRDefault="00F64F0C" w:rsidP="00673D03">
            <w:pPr>
              <w:widowControl w:val="0"/>
              <w:autoSpaceDE w:val="0"/>
              <w:autoSpaceDN w:val="0"/>
              <w:adjustRightInd w:val="0"/>
              <w:rPr>
                <w:sz w:val="22"/>
                <w:szCs w:val="22"/>
              </w:rPr>
            </w:pPr>
            <w:r>
              <w:rPr>
                <w:sz w:val="22"/>
                <w:szCs w:val="22"/>
              </w:rPr>
              <w:t>Compatible with an online sample</w:t>
            </w:r>
          </w:p>
        </w:tc>
        <w:tc>
          <w:tcPr>
            <w:tcW w:w="1370" w:type="dxa"/>
            <w:vAlign w:val="center"/>
          </w:tcPr>
          <w:p w14:paraId="6A6AD612" w14:textId="77777777" w:rsidR="00F64F0C" w:rsidRDefault="00F64F0C" w:rsidP="00F64F0C">
            <w:pPr>
              <w:widowControl w:val="0"/>
              <w:autoSpaceDE w:val="0"/>
              <w:autoSpaceDN w:val="0"/>
              <w:adjustRightInd w:val="0"/>
              <w:jc w:val="center"/>
            </w:pPr>
            <w:r>
              <w:t>Yes</w:t>
            </w:r>
          </w:p>
        </w:tc>
        <w:tc>
          <w:tcPr>
            <w:tcW w:w="1511" w:type="dxa"/>
            <w:vAlign w:val="center"/>
          </w:tcPr>
          <w:p w14:paraId="1FA3534C" w14:textId="77777777" w:rsidR="00F64F0C" w:rsidRDefault="00F64F0C" w:rsidP="00F64F0C">
            <w:pPr>
              <w:widowControl w:val="0"/>
              <w:autoSpaceDE w:val="0"/>
              <w:autoSpaceDN w:val="0"/>
              <w:adjustRightInd w:val="0"/>
              <w:jc w:val="center"/>
            </w:pPr>
            <w:r>
              <w:t>Yes</w:t>
            </w:r>
          </w:p>
        </w:tc>
        <w:tc>
          <w:tcPr>
            <w:tcW w:w="1628" w:type="dxa"/>
            <w:vAlign w:val="center"/>
          </w:tcPr>
          <w:p w14:paraId="57BF4D85" w14:textId="77777777" w:rsidR="00F64F0C" w:rsidRDefault="00F64F0C" w:rsidP="00F64F0C">
            <w:pPr>
              <w:widowControl w:val="0"/>
              <w:autoSpaceDE w:val="0"/>
              <w:autoSpaceDN w:val="0"/>
              <w:adjustRightInd w:val="0"/>
              <w:jc w:val="center"/>
            </w:pPr>
            <w:r>
              <w:t>No</w:t>
            </w:r>
          </w:p>
        </w:tc>
        <w:tc>
          <w:tcPr>
            <w:tcW w:w="1602" w:type="dxa"/>
            <w:vAlign w:val="center"/>
          </w:tcPr>
          <w:p w14:paraId="610DC905" w14:textId="77777777" w:rsidR="00F64F0C" w:rsidRDefault="00F64F0C" w:rsidP="00F64F0C">
            <w:pPr>
              <w:widowControl w:val="0"/>
              <w:autoSpaceDE w:val="0"/>
              <w:autoSpaceDN w:val="0"/>
              <w:adjustRightInd w:val="0"/>
              <w:jc w:val="center"/>
            </w:pPr>
            <w:r>
              <w:t>No</w:t>
            </w:r>
          </w:p>
        </w:tc>
      </w:tr>
      <w:tr w:rsidR="00F64F0C" w14:paraId="41912E7B" w14:textId="77777777" w:rsidTr="00F64F0C">
        <w:tc>
          <w:tcPr>
            <w:tcW w:w="3244" w:type="dxa"/>
          </w:tcPr>
          <w:p w14:paraId="078E0A25" w14:textId="77777777" w:rsidR="00F64F0C" w:rsidRPr="00F64F0C" w:rsidRDefault="00F64F0C" w:rsidP="00673D03">
            <w:pPr>
              <w:widowControl w:val="0"/>
              <w:autoSpaceDE w:val="0"/>
              <w:autoSpaceDN w:val="0"/>
              <w:adjustRightInd w:val="0"/>
              <w:rPr>
                <w:sz w:val="10"/>
                <w:szCs w:val="10"/>
              </w:rPr>
            </w:pPr>
          </w:p>
        </w:tc>
        <w:tc>
          <w:tcPr>
            <w:tcW w:w="1370" w:type="dxa"/>
            <w:vAlign w:val="center"/>
          </w:tcPr>
          <w:p w14:paraId="6F27DEE4" w14:textId="77777777" w:rsidR="00F64F0C" w:rsidRPr="00F64F0C" w:rsidRDefault="00F64F0C" w:rsidP="00F64F0C">
            <w:pPr>
              <w:widowControl w:val="0"/>
              <w:autoSpaceDE w:val="0"/>
              <w:autoSpaceDN w:val="0"/>
              <w:adjustRightInd w:val="0"/>
              <w:jc w:val="center"/>
              <w:rPr>
                <w:sz w:val="10"/>
                <w:szCs w:val="10"/>
              </w:rPr>
            </w:pPr>
          </w:p>
        </w:tc>
        <w:tc>
          <w:tcPr>
            <w:tcW w:w="1511" w:type="dxa"/>
            <w:vAlign w:val="center"/>
          </w:tcPr>
          <w:p w14:paraId="679ECC88" w14:textId="77777777" w:rsidR="00F64F0C" w:rsidRPr="00F64F0C" w:rsidRDefault="00F64F0C" w:rsidP="00F64F0C">
            <w:pPr>
              <w:widowControl w:val="0"/>
              <w:autoSpaceDE w:val="0"/>
              <w:autoSpaceDN w:val="0"/>
              <w:adjustRightInd w:val="0"/>
              <w:jc w:val="center"/>
              <w:rPr>
                <w:sz w:val="10"/>
                <w:szCs w:val="10"/>
              </w:rPr>
            </w:pPr>
          </w:p>
        </w:tc>
        <w:tc>
          <w:tcPr>
            <w:tcW w:w="1628" w:type="dxa"/>
            <w:vAlign w:val="center"/>
          </w:tcPr>
          <w:p w14:paraId="52197969" w14:textId="77777777" w:rsidR="00F64F0C" w:rsidRPr="00F64F0C" w:rsidRDefault="00F64F0C" w:rsidP="00F64F0C">
            <w:pPr>
              <w:widowControl w:val="0"/>
              <w:autoSpaceDE w:val="0"/>
              <w:autoSpaceDN w:val="0"/>
              <w:adjustRightInd w:val="0"/>
              <w:jc w:val="center"/>
              <w:rPr>
                <w:sz w:val="10"/>
                <w:szCs w:val="10"/>
              </w:rPr>
            </w:pPr>
          </w:p>
        </w:tc>
        <w:tc>
          <w:tcPr>
            <w:tcW w:w="1602" w:type="dxa"/>
            <w:vAlign w:val="center"/>
          </w:tcPr>
          <w:p w14:paraId="3653A296" w14:textId="77777777" w:rsidR="00F64F0C" w:rsidRPr="00F64F0C" w:rsidRDefault="00F64F0C" w:rsidP="00F64F0C">
            <w:pPr>
              <w:widowControl w:val="0"/>
              <w:autoSpaceDE w:val="0"/>
              <w:autoSpaceDN w:val="0"/>
              <w:adjustRightInd w:val="0"/>
              <w:jc w:val="center"/>
              <w:rPr>
                <w:sz w:val="10"/>
                <w:szCs w:val="10"/>
              </w:rPr>
            </w:pPr>
          </w:p>
        </w:tc>
      </w:tr>
      <w:tr w:rsidR="00F64F0C" w14:paraId="541A4AC3" w14:textId="77777777" w:rsidTr="00F64F0C">
        <w:tc>
          <w:tcPr>
            <w:tcW w:w="3244" w:type="dxa"/>
          </w:tcPr>
          <w:p w14:paraId="50F52BCD" w14:textId="1E7C6FEF" w:rsidR="00F64F0C" w:rsidRPr="00F64F0C" w:rsidRDefault="00593488" w:rsidP="00673D03">
            <w:pPr>
              <w:widowControl w:val="0"/>
              <w:autoSpaceDE w:val="0"/>
              <w:autoSpaceDN w:val="0"/>
              <w:adjustRightInd w:val="0"/>
              <w:rPr>
                <w:sz w:val="22"/>
                <w:szCs w:val="22"/>
              </w:rPr>
            </w:pPr>
            <w:r>
              <w:rPr>
                <w:sz w:val="22"/>
                <w:szCs w:val="22"/>
              </w:rPr>
              <w:t>A</w:t>
            </w:r>
            <w:r w:rsidR="00F64F0C" w:rsidRPr="00F64F0C">
              <w:rPr>
                <w:sz w:val="22"/>
                <w:szCs w:val="22"/>
              </w:rPr>
              <w:t>dd custom labels to products</w:t>
            </w:r>
          </w:p>
        </w:tc>
        <w:tc>
          <w:tcPr>
            <w:tcW w:w="1370" w:type="dxa"/>
            <w:vAlign w:val="center"/>
          </w:tcPr>
          <w:p w14:paraId="689E26AB" w14:textId="77777777" w:rsidR="00F64F0C" w:rsidRDefault="00F64F0C" w:rsidP="00F64F0C">
            <w:pPr>
              <w:widowControl w:val="0"/>
              <w:autoSpaceDE w:val="0"/>
              <w:autoSpaceDN w:val="0"/>
              <w:adjustRightInd w:val="0"/>
              <w:jc w:val="center"/>
            </w:pPr>
            <w:r>
              <w:t>Yes</w:t>
            </w:r>
          </w:p>
        </w:tc>
        <w:tc>
          <w:tcPr>
            <w:tcW w:w="1511" w:type="dxa"/>
            <w:vAlign w:val="center"/>
          </w:tcPr>
          <w:p w14:paraId="163E6E1A" w14:textId="77777777" w:rsidR="00F64F0C" w:rsidRDefault="00F64F0C" w:rsidP="00F64F0C">
            <w:pPr>
              <w:widowControl w:val="0"/>
              <w:autoSpaceDE w:val="0"/>
              <w:autoSpaceDN w:val="0"/>
              <w:adjustRightInd w:val="0"/>
              <w:jc w:val="center"/>
            </w:pPr>
            <w:r>
              <w:t>Yes</w:t>
            </w:r>
          </w:p>
        </w:tc>
        <w:tc>
          <w:tcPr>
            <w:tcW w:w="1628" w:type="dxa"/>
            <w:vAlign w:val="center"/>
          </w:tcPr>
          <w:p w14:paraId="74129836" w14:textId="77777777" w:rsidR="00F64F0C" w:rsidRDefault="00F64F0C" w:rsidP="00F64F0C">
            <w:pPr>
              <w:widowControl w:val="0"/>
              <w:autoSpaceDE w:val="0"/>
              <w:autoSpaceDN w:val="0"/>
              <w:adjustRightInd w:val="0"/>
              <w:jc w:val="center"/>
            </w:pPr>
            <w:r>
              <w:t>Yes</w:t>
            </w:r>
          </w:p>
        </w:tc>
        <w:tc>
          <w:tcPr>
            <w:tcW w:w="1602" w:type="dxa"/>
            <w:vAlign w:val="center"/>
          </w:tcPr>
          <w:p w14:paraId="08663560" w14:textId="77777777" w:rsidR="00F64F0C" w:rsidRDefault="00F64F0C" w:rsidP="00F64F0C">
            <w:pPr>
              <w:widowControl w:val="0"/>
              <w:autoSpaceDE w:val="0"/>
              <w:autoSpaceDN w:val="0"/>
              <w:adjustRightInd w:val="0"/>
              <w:jc w:val="center"/>
            </w:pPr>
            <w:r>
              <w:t>Yes</w:t>
            </w:r>
          </w:p>
        </w:tc>
      </w:tr>
      <w:tr w:rsidR="00F64F0C" w14:paraId="70C060D9" w14:textId="77777777" w:rsidTr="00F64F0C">
        <w:tc>
          <w:tcPr>
            <w:tcW w:w="3244" w:type="dxa"/>
          </w:tcPr>
          <w:p w14:paraId="50446F0F" w14:textId="77777777" w:rsidR="00F64F0C" w:rsidRPr="00F64F0C" w:rsidRDefault="00F64F0C" w:rsidP="00673D03">
            <w:pPr>
              <w:widowControl w:val="0"/>
              <w:autoSpaceDE w:val="0"/>
              <w:autoSpaceDN w:val="0"/>
              <w:adjustRightInd w:val="0"/>
              <w:rPr>
                <w:sz w:val="22"/>
                <w:szCs w:val="22"/>
              </w:rPr>
            </w:pPr>
          </w:p>
        </w:tc>
        <w:tc>
          <w:tcPr>
            <w:tcW w:w="1370" w:type="dxa"/>
            <w:vAlign w:val="center"/>
          </w:tcPr>
          <w:p w14:paraId="6C656697" w14:textId="77777777" w:rsidR="00F64F0C" w:rsidRDefault="00F64F0C" w:rsidP="00F64F0C">
            <w:pPr>
              <w:widowControl w:val="0"/>
              <w:autoSpaceDE w:val="0"/>
              <w:autoSpaceDN w:val="0"/>
              <w:adjustRightInd w:val="0"/>
              <w:jc w:val="center"/>
            </w:pPr>
          </w:p>
        </w:tc>
        <w:tc>
          <w:tcPr>
            <w:tcW w:w="1511" w:type="dxa"/>
            <w:vAlign w:val="center"/>
          </w:tcPr>
          <w:p w14:paraId="091DAE63" w14:textId="77777777" w:rsidR="00F64F0C" w:rsidRDefault="00F64F0C" w:rsidP="00F64F0C">
            <w:pPr>
              <w:widowControl w:val="0"/>
              <w:autoSpaceDE w:val="0"/>
              <w:autoSpaceDN w:val="0"/>
              <w:adjustRightInd w:val="0"/>
              <w:jc w:val="center"/>
            </w:pPr>
          </w:p>
        </w:tc>
        <w:tc>
          <w:tcPr>
            <w:tcW w:w="1628" w:type="dxa"/>
            <w:vAlign w:val="center"/>
          </w:tcPr>
          <w:p w14:paraId="52B7C56F" w14:textId="77777777" w:rsidR="00F64F0C" w:rsidRDefault="00F64F0C" w:rsidP="00F64F0C">
            <w:pPr>
              <w:widowControl w:val="0"/>
              <w:autoSpaceDE w:val="0"/>
              <w:autoSpaceDN w:val="0"/>
              <w:adjustRightInd w:val="0"/>
              <w:jc w:val="center"/>
            </w:pPr>
          </w:p>
        </w:tc>
        <w:tc>
          <w:tcPr>
            <w:tcW w:w="1602" w:type="dxa"/>
            <w:vAlign w:val="center"/>
          </w:tcPr>
          <w:p w14:paraId="6F1E1960" w14:textId="77777777" w:rsidR="00F64F0C" w:rsidRDefault="00F64F0C" w:rsidP="00F64F0C">
            <w:pPr>
              <w:widowControl w:val="0"/>
              <w:autoSpaceDE w:val="0"/>
              <w:autoSpaceDN w:val="0"/>
              <w:adjustRightInd w:val="0"/>
              <w:jc w:val="center"/>
            </w:pPr>
          </w:p>
        </w:tc>
      </w:tr>
      <w:tr w:rsidR="00F64F0C" w14:paraId="1D829617" w14:textId="77777777" w:rsidTr="00F64F0C">
        <w:tc>
          <w:tcPr>
            <w:tcW w:w="3244" w:type="dxa"/>
          </w:tcPr>
          <w:p w14:paraId="0FB2FF19" w14:textId="6342F148" w:rsidR="00F64F0C" w:rsidRPr="00F64F0C" w:rsidRDefault="00593488" w:rsidP="00673D03">
            <w:pPr>
              <w:widowControl w:val="0"/>
              <w:autoSpaceDE w:val="0"/>
              <w:autoSpaceDN w:val="0"/>
              <w:adjustRightInd w:val="0"/>
              <w:rPr>
                <w:sz w:val="22"/>
                <w:szCs w:val="22"/>
              </w:rPr>
            </w:pPr>
            <w:r>
              <w:rPr>
                <w:sz w:val="22"/>
                <w:szCs w:val="22"/>
              </w:rPr>
              <w:t>C</w:t>
            </w:r>
            <w:r w:rsidR="00F64F0C" w:rsidRPr="00F64F0C">
              <w:rPr>
                <w:sz w:val="22"/>
                <w:szCs w:val="22"/>
              </w:rPr>
              <w:t>hange the way products are ordered within a page</w:t>
            </w:r>
          </w:p>
        </w:tc>
        <w:tc>
          <w:tcPr>
            <w:tcW w:w="1370" w:type="dxa"/>
            <w:vAlign w:val="center"/>
          </w:tcPr>
          <w:p w14:paraId="60F116E8" w14:textId="77777777" w:rsidR="00F64F0C" w:rsidRDefault="00F64F0C" w:rsidP="00F64F0C">
            <w:pPr>
              <w:widowControl w:val="0"/>
              <w:autoSpaceDE w:val="0"/>
              <w:autoSpaceDN w:val="0"/>
              <w:adjustRightInd w:val="0"/>
              <w:jc w:val="center"/>
            </w:pPr>
            <w:r>
              <w:t>Yes</w:t>
            </w:r>
          </w:p>
        </w:tc>
        <w:tc>
          <w:tcPr>
            <w:tcW w:w="1511" w:type="dxa"/>
            <w:vAlign w:val="center"/>
          </w:tcPr>
          <w:p w14:paraId="1C089E4C" w14:textId="77777777" w:rsidR="00F64F0C" w:rsidRDefault="00F64F0C" w:rsidP="00F64F0C">
            <w:pPr>
              <w:widowControl w:val="0"/>
              <w:autoSpaceDE w:val="0"/>
              <w:autoSpaceDN w:val="0"/>
              <w:adjustRightInd w:val="0"/>
              <w:jc w:val="center"/>
            </w:pPr>
            <w:r>
              <w:t>N/A</w:t>
            </w:r>
          </w:p>
        </w:tc>
        <w:tc>
          <w:tcPr>
            <w:tcW w:w="1628" w:type="dxa"/>
            <w:vAlign w:val="center"/>
          </w:tcPr>
          <w:p w14:paraId="11AD7F30" w14:textId="77777777" w:rsidR="00F64F0C" w:rsidRDefault="00F64F0C" w:rsidP="00F64F0C">
            <w:pPr>
              <w:widowControl w:val="0"/>
              <w:autoSpaceDE w:val="0"/>
              <w:autoSpaceDN w:val="0"/>
              <w:adjustRightInd w:val="0"/>
              <w:jc w:val="center"/>
            </w:pPr>
            <w:r>
              <w:t>Yes</w:t>
            </w:r>
          </w:p>
        </w:tc>
        <w:tc>
          <w:tcPr>
            <w:tcW w:w="1602" w:type="dxa"/>
            <w:vAlign w:val="center"/>
          </w:tcPr>
          <w:p w14:paraId="47F5030B" w14:textId="77777777" w:rsidR="00F64F0C" w:rsidRDefault="00F64F0C" w:rsidP="00F64F0C">
            <w:pPr>
              <w:widowControl w:val="0"/>
              <w:autoSpaceDE w:val="0"/>
              <w:autoSpaceDN w:val="0"/>
              <w:adjustRightInd w:val="0"/>
              <w:jc w:val="center"/>
            </w:pPr>
            <w:r>
              <w:t>No</w:t>
            </w:r>
          </w:p>
        </w:tc>
      </w:tr>
      <w:tr w:rsidR="00F64F0C" w14:paraId="6A2A1D2E" w14:textId="77777777" w:rsidTr="00F64F0C">
        <w:tc>
          <w:tcPr>
            <w:tcW w:w="3244" w:type="dxa"/>
          </w:tcPr>
          <w:p w14:paraId="26796CBF" w14:textId="77777777" w:rsidR="00F64F0C" w:rsidRPr="00593488" w:rsidRDefault="00F64F0C" w:rsidP="00673D03">
            <w:pPr>
              <w:widowControl w:val="0"/>
              <w:autoSpaceDE w:val="0"/>
              <w:autoSpaceDN w:val="0"/>
              <w:adjustRightInd w:val="0"/>
              <w:rPr>
                <w:sz w:val="10"/>
                <w:szCs w:val="10"/>
              </w:rPr>
            </w:pPr>
          </w:p>
        </w:tc>
        <w:tc>
          <w:tcPr>
            <w:tcW w:w="1370" w:type="dxa"/>
            <w:vAlign w:val="center"/>
          </w:tcPr>
          <w:p w14:paraId="1B4D8FB0" w14:textId="77777777" w:rsidR="00F64F0C" w:rsidRPr="00593488" w:rsidRDefault="00F64F0C" w:rsidP="00F64F0C">
            <w:pPr>
              <w:widowControl w:val="0"/>
              <w:autoSpaceDE w:val="0"/>
              <w:autoSpaceDN w:val="0"/>
              <w:adjustRightInd w:val="0"/>
              <w:jc w:val="center"/>
              <w:rPr>
                <w:sz w:val="10"/>
                <w:szCs w:val="10"/>
              </w:rPr>
            </w:pPr>
          </w:p>
        </w:tc>
        <w:tc>
          <w:tcPr>
            <w:tcW w:w="1511" w:type="dxa"/>
            <w:vAlign w:val="center"/>
          </w:tcPr>
          <w:p w14:paraId="098E248A" w14:textId="77777777" w:rsidR="00F64F0C" w:rsidRPr="00593488" w:rsidRDefault="00F64F0C" w:rsidP="00F64F0C">
            <w:pPr>
              <w:widowControl w:val="0"/>
              <w:autoSpaceDE w:val="0"/>
              <w:autoSpaceDN w:val="0"/>
              <w:adjustRightInd w:val="0"/>
              <w:jc w:val="center"/>
              <w:rPr>
                <w:sz w:val="10"/>
                <w:szCs w:val="10"/>
              </w:rPr>
            </w:pPr>
          </w:p>
        </w:tc>
        <w:tc>
          <w:tcPr>
            <w:tcW w:w="1628" w:type="dxa"/>
            <w:vAlign w:val="center"/>
          </w:tcPr>
          <w:p w14:paraId="2D1C6E31" w14:textId="77777777" w:rsidR="00F64F0C" w:rsidRPr="00593488" w:rsidRDefault="00F64F0C" w:rsidP="00F64F0C">
            <w:pPr>
              <w:widowControl w:val="0"/>
              <w:autoSpaceDE w:val="0"/>
              <w:autoSpaceDN w:val="0"/>
              <w:adjustRightInd w:val="0"/>
              <w:jc w:val="center"/>
              <w:rPr>
                <w:sz w:val="10"/>
                <w:szCs w:val="10"/>
              </w:rPr>
            </w:pPr>
          </w:p>
        </w:tc>
        <w:tc>
          <w:tcPr>
            <w:tcW w:w="1602" w:type="dxa"/>
            <w:vAlign w:val="center"/>
          </w:tcPr>
          <w:p w14:paraId="36BC2026" w14:textId="77777777" w:rsidR="00F64F0C" w:rsidRPr="00593488" w:rsidRDefault="00F64F0C" w:rsidP="00F64F0C">
            <w:pPr>
              <w:widowControl w:val="0"/>
              <w:autoSpaceDE w:val="0"/>
              <w:autoSpaceDN w:val="0"/>
              <w:adjustRightInd w:val="0"/>
              <w:jc w:val="center"/>
              <w:rPr>
                <w:sz w:val="10"/>
                <w:szCs w:val="10"/>
              </w:rPr>
            </w:pPr>
          </w:p>
        </w:tc>
      </w:tr>
      <w:tr w:rsidR="00F64F0C" w14:paraId="3E80219A" w14:textId="77777777" w:rsidTr="00F64F0C">
        <w:tc>
          <w:tcPr>
            <w:tcW w:w="3244" w:type="dxa"/>
          </w:tcPr>
          <w:p w14:paraId="35C4A2B5" w14:textId="7C42FFBE" w:rsidR="00F64F0C" w:rsidRPr="00F64F0C" w:rsidRDefault="00593488" w:rsidP="00673D03">
            <w:pPr>
              <w:widowControl w:val="0"/>
              <w:autoSpaceDE w:val="0"/>
              <w:autoSpaceDN w:val="0"/>
              <w:adjustRightInd w:val="0"/>
              <w:rPr>
                <w:sz w:val="22"/>
                <w:szCs w:val="22"/>
              </w:rPr>
            </w:pPr>
            <w:r>
              <w:rPr>
                <w:sz w:val="22"/>
                <w:szCs w:val="22"/>
              </w:rPr>
              <w:t>A</w:t>
            </w:r>
            <w:r w:rsidR="00F64F0C" w:rsidRPr="00F64F0C">
              <w:rPr>
                <w:sz w:val="22"/>
                <w:szCs w:val="22"/>
              </w:rPr>
              <w:t>lter the categories that appear within a store and/or create custom categories</w:t>
            </w:r>
          </w:p>
        </w:tc>
        <w:tc>
          <w:tcPr>
            <w:tcW w:w="1370" w:type="dxa"/>
            <w:vAlign w:val="center"/>
          </w:tcPr>
          <w:p w14:paraId="53A2D5FD" w14:textId="77777777" w:rsidR="00F64F0C" w:rsidRDefault="00F64F0C" w:rsidP="00F64F0C">
            <w:pPr>
              <w:widowControl w:val="0"/>
              <w:autoSpaceDE w:val="0"/>
              <w:autoSpaceDN w:val="0"/>
              <w:adjustRightInd w:val="0"/>
              <w:jc w:val="center"/>
            </w:pPr>
            <w:r>
              <w:t>Yes</w:t>
            </w:r>
          </w:p>
        </w:tc>
        <w:tc>
          <w:tcPr>
            <w:tcW w:w="1511" w:type="dxa"/>
            <w:vAlign w:val="center"/>
          </w:tcPr>
          <w:p w14:paraId="28F83BC1" w14:textId="77777777" w:rsidR="00F64F0C" w:rsidRDefault="00F64F0C" w:rsidP="00F64F0C">
            <w:pPr>
              <w:widowControl w:val="0"/>
              <w:autoSpaceDE w:val="0"/>
              <w:autoSpaceDN w:val="0"/>
              <w:adjustRightInd w:val="0"/>
              <w:jc w:val="center"/>
            </w:pPr>
            <w:r>
              <w:t>N/A</w:t>
            </w:r>
          </w:p>
        </w:tc>
        <w:tc>
          <w:tcPr>
            <w:tcW w:w="1628" w:type="dxa"/>
            <w:vAlign w:val="center"/>
          </w:tcPr>
          <w:p w14:paraId="561923B8" w14:textId="77777777" w:rsidR="00F64F0C" w:rsidRDefault="00F64F0C" w:rsidP="00F64F0C">
            <w:pPr>
              <w:widowControl w:val="0"/>
              <w:autoSpaceDE w:val="0"/>
              <w:autoSpaceDN w:val="0"/>
              <w:adjustRightInd w:val="0"/>
              <w:jc w:val="center"/>
            </w:pPr>
            <w:r>
              <w:t>Yes</w:t>
            </w:r>
          </w:p>
        </w:tc>
        <w:tc>
          <w:tcPr>
            <w:tcW w:w="1602" w:type="dxa"/>
            <w:vAlign w:val="center"/>
          </w:tcPr>
          <w:p w14:paraId="1D7C240F" w14:textId="77777777" w:rsidR="00F64F0C" w:rsidRDefault="00F64F0C" w:rsidP="00F64F0C">
            <w:pPr>
              <w:widowControl w:val="0"/>
              <w:autoSpaceDE w:val="0"/>
              <w:autoSpaceDN w:val="0"/>
              <w:adjustRightInd w:val="0"/>
              <w:jc w:val="center"/>
            </w:pPr>
            <w:r>
              <w:t>No</w:t>
            </w:r>
          </w:p>
        </w:tc>
      </w:tr>
      <w:tr w:rsidR="00F64F0C" w14:paraId="34D52FE4" w14:textId="77777777" w:rsidTr="00F64F0C">
        <w:tc>
          <w:tcPr>
            <w:tcW w:w="3244" w:type="dxa"/>
          </w:tcPr>
          <w:p w14:paraId="19C1E771" w14:textId="77777777" w:rsidR="00F64F0C" w:rsidRPr="00593488" w:rsidRDefault="00F64F0C" w:rsidP="00673D03">
            <w:pPr>
              <w:widowControl w:val="0"/>
              <w:autoSpaceDE w:val="0"/>
              <w:autoSpaceDN w:val="0"/>
              <w:adjustRightInd w:val="0"/>
              <w:rPr>
                <w:sz w:val="10"/>
                <w:szCs w:val="10"/>
              </w:rPr>
            </w:pPr>
          </w:p>
        </w:tc>
        <w:tc>
          <w:tcPr>
            <w:tcW w:w="1370" w:type="dxa"/>
            <w:vAlign w:val="center"/>
          </w:tcPr>
          <w:p w14:paraId="3ED89EFC" w14:textId="77777777" w:rsidR="00F64F0C" w:rsidRPr="00593488" w:rsidRDefault="00F64F0C" w:rsidP="00F64F0C">
            <w:pPr>
              <w:widowControl w:val="0"/>
              <w:autoSpaceDE w:val="0"/>
              <w:autoSpaceDN w:val="0"/>
              <w:adjustRightInd w:val="0"/>
              <w:jc w:val="center"/>
              <w:rPr>
                <w:sz w:val="10"/>
                <w:szCs w:val="10"/>
              </w:rPr>
            </w:pPr>
          </w:p>
        </w:tc>
        <w:tc>
          <w:tcPr>
            <w:tcW w:w="1511" w:type="dxa"/>
            <w:vAlign w:val="center"/>
          </w:tcPr>
          <w:p w14:paraId="17580796" w14:textId="77777777" w:rsidR="00F64F0C" w:rsidRPr="00593488" w:rsidRDefault="00F64F0C" w:rsidP="00F64F0C">
            <w:pPr>
              <w:widowControl w:val="0"/>
              <w:autoSpaceDE w:val="0"/>
              <w:autoSpaceDN w:val="0"/>
              <w:adjustRightInd w:val="0"/>
              <w:jc w:val="center"/>
              <w:rPr>
                <w:sz w:val="10"/>
                <w:szCs w:val="10"/>
              </w:rPr>
            </w:pPr>
          </w:p>
        </w:tc>
        <w:tc>
          <w:tcPr>
            <w:tcW w:w="1628" w:type="dxa"/>
            <w:vAlign w:val="center"/>
          </w:tcPr>
          <w:p w14:paraId="2727B765" w14:textId="77777777" w:rsidR="00F64F0C" w:rsidRPr="00593488" w:rsidRDefault="00F64F0C" w:rsidP="00F64F0C">
            <w:pPr>
              <w:widowControl w:val="0"/>
              <w:autoSpaceDE w:val="0"/>
              <w:autoSpaceDN w:val="0"/>
              <w:adjustRightInd w:val="0"/>
              <w:jc w:val="center"/>
              <w:rPr>
                <w:sz w:val="10"/>
                <w:szCs w:val="10"/>
              </w:rPr>
            </w:pPr>
          </w:p>
        </w:tc>
        <w:tc>
          <w:tcPr>
            <w:tcW w:w="1602" w:type="dxa"/>
            <w:vAlign w:val="center"/>
          </w:tcPr>
          <w:p w14:paraId="39B3767B" w14:textId="77777777" w:rsidR="00F64F0C" w:rsidRPr="00593488" w:rsidRDefault="00F64F0C" w:rsidP="00F64F0C">
            <w:pPr>
              <w:widowControl w:val="0"/>
              <w:autoSpaceDE w:val="0"/>
              <w:autoSpaceDN w:val="0"/>
              <w:adjustRightInd w:val="0"/>
              <w:jc w:val="center"/>
              <w:rPr>
                <w:sz w:val="10"/>
                <w:szCs w:val="10"/>
              </w:rPr>
            </w:pPr>
          </w:p>
        </w:tc>
      </w:tr>
      <w:tr w:rsidR="00F64F0C" w14:paraId="69F35C52" w14:textId="77777777" w:rsidTr="00F64F0C">
        <w:tc>
          <w:tcPr>
            <w:tcW w:w="3244" w:type="dxa"/>
          </w:tcPr>
          <w:p w14:paraId="5495D5BB" w14:textId="087E9C68" w:rsidR="00F64F0C" w:rsidRPr="00F64F0C" w:rsidRDefault="00593488" w:rsidP="00673D03">
            <w:pPr>
              <w:widowControl w:val="0"/>
              <w:autoSpaceDE w:val="0"/>
              <w:autoSpaceDN w:val="0"/>
              <w:adjustRightInd w:val="0"/>
              <w:rPr>
                <w:sz w:val="22"/>
                <w:szCs w:val="22"/>
              </w:rPr>
            </w:pPr>
            <w:r>
              <w:rPr>
                <w:sz w:val="22"/>
                <w:szCs w:val="22"/>
              </w:rPr>
              <w:t>Recommend</w:t>
            </w:r>
            <w:r w:rsidR="00F64F0C" w:rsidRPr="00F64F0C">
              <w:rPr>
                <w:sz w:val="22"/>
                <w:szCs w:val="22"/>
              </w:rPr>
              <w:t xml:space="preserve"> products based on participant </w:t>
            </w:r>
            <w:r>
              <w:rPr>
                <w:sz w:val="22"/>
                <w:szCs w:val="22"/>
              </w:rPr>
              <w:t>actions</w:t>
            </w:r>
          </w:p>
        </w:tc>
        <w:tc>
          <w:tcPr>
            <w:tcW w:w="1370" w:type="dxa"/>
            <w:vAlign w:val="center"/>
          </w:tcPr>
          <w:p w14:paraId="13353709" w14:textId="77777777" w:rsidR="00F64F0C" w:rsidRDefault="00F64F0C" w:rsidP="00F64F0C">
            <w:pPr>
              <w:widowControl w:val="0"/>
              <w:autoSpaceDE w:val="0"/>
              <w:autoSpaceDN w:val="0"/>
              <w:adjustRightInd w:val="0"/>
              <w:jc w:val="center"/>
            </w:pPr>
            <w:r>
              <w:t>Yes</w:t>
            </w:r>
          </w:p>
        </w:tc>
        <w:tc>
          <w:tcPr>
            <w:tcW w:w="1511" w:type="dxa"/>
            <w:vAlign w:val="center"/>
          </w:tcPr>
          <w:p w14:paraId="7B8D0E69" w14:textId="77777777" w:rsidR="00F64F0C" w:rsidRDefault="00F64F0C" w:rsidP="00F64F0C">
            <w:pPr>
              <w:widowControl w:val="0"/>
              <w:autoSpaceDE w:val="0"/>
              <w:autoSpaceDN w:val="0"/>
              <w:adjustRightInd w:val="0"/>
              <w:jc w:val="center"/>
            </w:pPr>
            <w:r>
              <w:t>N/A</w:t>
            </w:r>
          </w:p>
        </w:tc>
        <w:tc>
          <w:tcPr>
            <w:tcW w:w="1628" w:type="dxa"/>
            <w:vAlign w:val="center"/>
          </w:tcPr>
          <w:p w14:paraId="6D6ED08C" w14:textId="77777777" w:rsidR="00F64F0C" w:rsidRDefault="00F64F0C" w:rsidP="00F64F0C">
            <w:pPr>
              <w:widowControl w:val="0"/>
              <w:autoSpaceDE w:val="0"/>
              <w:autoSpaceDN w:val="0"/>
              <w:adjustRightInd w:val="0"/>
              <w:jc w:val="center"/>
            </w:pPr>
            <w:r>
              <w:t>No</w:t>
            </w:r>
          </w:p>
        </w:tc>
        <w:tc>
          <w:tcPr>
            <w:tcW w:w="1602" w:type="dxa"/>
            <w:vAlign w:val="center"/>
          </w:tcPr>
          <w:p w14:paraId="4F43752F" w14:textId="77777777" w:rsidR="00F64F0C" w:rsidRDefault="00F64F0C" w:rsidP="00F64F0C">
            <w:pPr>
              <w:widowControl w:val="0"/>
              <w:autoSpaceDE w:val="0"/>
              <w:autoSpaceDN w:val="0"/>
              <w:adjustRightInd w:val="0"/>
              <w:jc w:val="center"/>
            </w:pPr>
            <w:r>
              <w:t>No</w:t>
            </w:r>
          </w:p>
        </w:tc>
      </w:tr>
      <w:tr w:rsidR="00F64F0C" w14:paraId="5B1F072C" w14:textId="77777777" w:rsidTr="00F64F0C">
        <w:tc>
          <w:tcPr>
            <w:tcW w:w="3244" w:type="dxa"/>
          </w:tcPr>
          <w:p w14:paraId="6F491F0B" w14:textId="77777777" w:rsidR="00F64F0C" w:rsidRPr="00593488" w:rsidRDefault="00F64F0C" w:rsidP="00673D03">
            <w:pPr>
              <w:widowControl w:val="0"/>
              <w:autoSpaceDE w:val="0"/>
              <w:autoSpaceDN w:val="0"/>
              <w:adjustRightInd w:val="0"/>
              <w:rPr>
                <w:sz w:val="10"/>
                <w:szCs w:val="10"/>
              </w:rPr>
            </w:pPr>
          </w:p>
        </w:tc>
        <w:tc>
          <w:tcPr>
            <w:tcW w:w="1370" w:type="dxa"/>
            <w:vAlign w:val="center"/>
          </w:tcPr>
          <w:p w14:paraId="6338CE86" w14:textId="77777777" w:rsidR="00F64F0C" w:rsidRPr="00593488" w:rsidRDefault="00F64F0C" w:rsidP="00F64F0C">
            <w:pPr>
              <w:widowControl w:val="0"/>
              <w:autoSpaceDE w:val="0"/>
              <w:autoSpaceDN w:val="0"/>
              <w:adjustRightInd w:val="0"/>
              <w:jc w:val="center"/>
              <w:rPr>
                <w:sz w:val="10"/>
                <w:szCs w:val="10"/>
              </w:rPr>
            </w:pPr>
          </w:p>
        </w:tc>
        <w:tc>
          <w:tcPr>
            <w:tcW w:w="1511" w:type="dxa"/>
            <w:vAlign w:val="center"/>
          </w:tcPr>
          <w:p w14:paraId="1557C951" w14:textId="77777777" w:rsidR="00F64F0C" w:rsidRPr="00593488" w:rsidRDefault="00F64F0C" w:rsidP="00F64F0C">
            <w:pPr>
              <w:widowControl w:val="0"/>
              <w:autoSpaceDE w:val="0"/>
              <w:autoSpaceDN w:val="0"/>
              <w:adjustRightInd w:val="0"/>
              <w:jc w:val="center"/>
              <w:rPr>
                <w:sz w:val="10"/>
                <w:szCs w:val="10"/>
              </w:rPr>
            </w:pPr>
          </w:p>
        </w:tc>
        <w:tc>
          <w:tcPr>
            <w:tcW w:w="1628" w:type="dxa"/>
            <w:vAlign w:val="center"/>
          </w:tcPr>
          <w:p w14:paraId="63D2EBB6" w14:textId="77777777" w:rsidR="00F64F0C" w:rsidRPr="00593488" w:rsidRDefault="00F64F0C" w:rsidP="00F64F0C">
            <w:pPr>
              <w:widowControl w:val="0"/>
              <w:autoSpaceDE w:val="0"/>
              <w:autoSpaceDN w:val="0"/>
              <w:adjustRightInd w:val="0"/>
              <w:jc w:val="center"/>
              <w:rPr>
                <w:sz w:val="10"/>
                <w:szCs w:val="10"/>
              </w:rPr>
            </w:pPr>
          </w:p>
        </w:tc>
        <w:tc>
          <w:tcPr>
            <w:tcW w:w="1602" w:type="dxa"/>
            <w:vAlign w:val="center"/>
          </w:tcPr>
          <w:p w14:paraId="2DA9834E" w14:textId="77777777" w:rsidR="00F64F0C" w:rsidRPr="00593488" w:rsidRDefault="00F64F0C" w:rsidP="00F64F0C">
            <w:pPr>
              <w:widowControl w:val="0"/>
              <w:autoSpaceDE w:val="0"/>
              <w:autoSpaceDN w:val="0"/>
              <w:adjustRightInd w:val="0"/>
              <w:jc w:val="center"/>
              <w:rPr>
                <w:sz w:val="10"/>
                <w:szCs w:val="10"/>
              </w:rPr>
            </w:pPr>
          </w:p>
        </w:tc>
      </w:tr>
      <w:tr w:rsidR="00F64F0C" w14:paraId="27980854" w14:textId="77777777" w:rsidTr="00F64F0C">
        <w:tc>
          <w:tcPr>
            <w:tcW w:w="3244" w:type="dxa"/>
          </w:tcPr>
          <w:p w14:paraId="3829A43C" w14:textId="74FE389E" w:rsidR="00F64F0C" w:rsidRPr="00F64F0C" w:rsidRDefault="00593488" w:rsidP="00673D03">
            <w:pPr>
              <w:widowControl w:val="0"/>
              <w:autoSpaceDE w:val="0"/>
              <w:autoSpaceDN w:val="0"/>
              <w:adjustRightInd w:val="0"/>
              <w:rPr>
                <w:sz w:val="22"/>
                <w:szCs w:val="22"/>
              </w:rPr>
            </w:pPr>
            <w:r>
              <w:rPr>
                <w:sz w:val="22"/>
                <w:szCs w:val="22"/>
              </w:rPr>
              <w:t>Change</w:t>
            </w:r>
            <w:r w:rsidR="00F64F0C" w:rsidRPr="00F64F0C">
              <w:rPr>
                <w:sz w:val="22"/>
                <w:szCs w:val="22"/>
              </w:rPr>
              <w:t xml:space="preserve"> the way the Nutrition Facts Label is displayed</w:t>
            </w:r>
          </w:p>
        </w:tc>
        <w:tc>
          <w:tcPr>
            <w:tcW w:w="1370" w:type="dxa"/>
            <w:vAlign w:val="center"/>
          </w:tcPr>
          <w:p w14:paraId="308E6199" w14:textId="77777777" w:rsidR="00F64F0C" w:rsidRDefault="00F64F0C" w:rsidP="00F64F0C">
            <w:pPr>
              <w:widowControl w:val="0"/>
              <w:autoSpaceDE w:val="0"/>
              <w:autoSpaceDN w:val="0"/>
              <w:adjustRightInd w:val="0"/>
              <w:jc w:val="center"/>
            </w:pPr>
            <w:r>
              <w:t>Yes</w:t>
            </w:r>
          </w:p>
        </w:tc>
        <w:tc>
          <w:tcPr>
            <w:tcW w:w="1511" w:type="dxa"/>
            <w:vAlign w:val="center"/>
          </w:tcPr>
          <w:p w14:paraId="6142EF37" w14:textId="77777777" w:rsidR="00F64F0C" w:rsidRDefault="00F64F0C" w:rsidP="00F64F0C">
            <w:pPr>
              <w:widowControl w:val="0"/>
              <w:autoSpaceDE w:val="0"/>
              <w:autoSpaceDN w:val="0"/>
              <w:adjustRightInd w:val="0"/>
              <w:jc w:val="center"/>
            </w:pPr>
            <w:r>
              <w:t>N/A</w:t>
            </w:r>
          </w:p>
        </w:tc>
        <w:tc>
          <w:tcPr>
            <w:tcW w:w="1628" w:type="dxa"/>
            <w:vAlign w:val="center"/>
          </w:tcPr>
          <w:p w14:paraId="5FDFF981" w14:textId="77777777" w:rsidR="00F64F0C" w:rsidRPr="00F64F0C" w:rsidRDefault="00F64F0C" w:rsidP="00F64F0C">
            <w:pPr>
              <w:widowControl w:val="0"/>
              <w:autoSpaceDE w:val="0"/>
              <w:autoSpaceDN w:val="0"/>
              <w:adjustRightInd w:val="0"/>
              <w:jc w:val="center"/>
              <w:rPr>
                <w:sz w:val="20"/>
                <w:szCs w:val="20"/>
              </w:rPr>
            </w:pPr>
            <w:r w:rsidRPr="00F64F0C">
              <w:rPr>
                <w:sz w:val="20"/>
                <w:szCs w:val="20"/>
              </w:rPr>
              <w:t>Nutrition Facts not displayed at all</w:t>
            </w:r>
          </w:p>
        </w:tc>
        <w:tc>
          <w:tcPr>
            <w:tcW w:w="1602" w:type="dxa"/>
            <w:vAlign w:val="center"/>
          </w:tcPr>
          <w:p w14:paraId="2E73B29D" w14:textId="77777777" w:rsidR="00F64F0C" w:rsidRDefault="00F64F0C" w:rsidP="00F64F0C">
            <w:pPr>
              <w:widowControl w:val="0"/>
              <w:autoSpaceDE w:val="0"/>
              <w:autoSpaceDN w:val="0"/>
              <w:adjustRightInd w:val="0"/>
              <w:jc w:val="center"/>
            </w:pPr>
            <w:r>
              <w:t>No</w:t>
            </w:r>
          </w:p>
        </w:tc>
      </w:tr>
      <w:tr w:rsidR="00F64F0C" w14:paraId="20DA2A49" w14:textId="77777777" w:rsidTr="00F64F0C">
        <w:tc>
          <w:tcPr>
            <w:tcW w:w="3244" w:type="dxa"/>
          </w:tcPr>
          <w:p w14:paraId="2012600C" w14:textId="77777777" w:rsidR="00F64F0C" w:rsidRPr="00593488" w:rsidRDefault="00F64F0C" w:rsidP="00673D03">
            <w:pPr>
              <w:widowControl w:val="0"/>
              <w:autoSpaceDE w:val="0"/>
              <w:autoSpaceDN w:val="0"/>
              <w:adjustRightInd w:val="0"/>
              <w:rPr>
                <w:sz w:val="10"/>
                <w:szCs w:val="10"/>
              </w:rPr>
            </w:pPr>
          </w:p>
        </w:tc>
        <w:tc>
          <w:tcPr>
            <w:tcW w:w="1370" w:type="dxa"/>
            <w:vAlign w:val="center"/>
          </w:tcPr>
          <w:p w14:paraId="7BFB7BDB" w14:textId="77777777" w:rsidR="00F64F0C" w:rsidRPr="00593488" w:rsidRDefault="00F64F0C" w:rsidP="00F64F0C">
            <w:pPr>
              <w:widowControl w:val="0"/>
              <w:autoSpaceDE w:val="0"/>
              <w:autoSpaceDN w:val="0"/>
              <w:adjustRightInd w:val="0"/>
              <w:jc w:val="center"/>
              <w:rPr>
                <w:sz w:val="10"/>
                <w:szCs w:val="10"/>
              </w:rPr>
            </w:pPr>
          </w:p>
        </w:tc>
        <w:tc>
          <w:tcPr>
            <w:tcW w:w="1511" w:type="dxa"/>
            <w:vAlign w:val="center"/>
          </w:tcPr>
          <w:p w14:paraId="79CB760B" w14:textId="77777777" w:rsidR="00F64F0C" w:rsidRPr="00593488" w:rsidRDefault="00F64F0C" w:rsidP="00F64F0C">
            <w:pPr>
              <w:widowControl w:val="0"/>
              <w:autoSpaceDE w:val="0"/>
              <w:autoSpaceDN w:val="0"/>
              <w:adjustRightInd w:val="0"/>
              <w:jc w:val="center"/>
              <w:rPr>
                <w:sz w:val="10"/>
                <w:szCs w:val="10"/>
              </w:rPr>
            </w:pPr>
          </w:p>
        </w:tc>
        <w:tc>
          <w:tcPr>
            <w:tcW w:w="1628" w:type="dxa"/>
            <w:vAlign w:val="center"/>
          </w:tcPr>
          <w:p w14:paraId="0D7C7D02" w14:textId="77777777" w:rsidR="00F64F0C" w:rsidRPr="00593488" w:rsidRDefault="00F64F0C" w:rsidP="00F64F0C">
            <w:pPr>
              <w:widowControl w:val="0"/>
              <w:autoSpaceDE w:val="0"/>
              <w:autoSpaceDN w:val="0"/>
              <w:adjustRightInd w:val="0"/>
              <w:jc w:val="center"/>
              <w:rPr>
                <w:sz w:val="10"/>
                <w:szCs w:val="10"/>
              </w:rPr>
            </w:pPr>
          </w:p>
        </w:tc>
        <w:tc>
          <w:tcPr>
            <w:tcW w:w="1602" w:type="dxa"/>
            <w:vAlign w:val="center"/>
          </w:tcPr>
          <w:p w14:paraId="7BD476B0" w14:textId="77777777" w:rsidR="00F64F0C" w:rsidRPr="00593488" w:rsidRDefault="00F64F0C" w:rsidP="00F64F0C">
            <w:pPr>
              <w:widowControl w:val="0"/>
              <w:autoSpaceDE w:val="0"/>
              <w:autoSpaceDN w:val="0"/>
              <w:adjustRightInd w:val="0"/>
              <w:jc w:val="center"/>
              <w:rPr>
                <w:sz w:val="10"/>
                <w:szCs w:val="10"/>
              </w:rPr>
            </w:pPr>
          </w:p>
        </w:tc>
      </w:tr>
      <w:tr w:rsidR="00F64F0C" w14:paraId="602372BD" w14:textId="77777777" w:rsidTr="00F64F0C">
        <w:tc>
          <w:tcPr>
            <w:tcW w:w="3244" w:type="dxa"/>
          </w:tcPr>
          <w:p w14:paraId="0E844972" w14:textId="5217C570" w:rsidR="00F64F0C" w:rsidRPr="00F64F0C" w:rsidRDefault="00593488" w:rsidP="00673D03">
            <w:pPr>
              <w:widowControl w:val="0"/>
              <w:autoSpaceDE w:val="0"/>
              <w:autoSpaceDN w:val="0"/>
              <w:adjustRightInd w:val="0"/>
              <w:rPr>
                <w:sz w:val="22"/>
                <w:szCs w:val="22"/>
              </w:rPr>
            </w:pPr>
            <w:r>
              <w:rPr>
                <w:sz w:val="22"/>
                <w:szCs w:val="22"/>
              </w:rPr>
              <w:t>S</w:t>
            </w:r>
            <w:r w:rsidR="00F64F0C" w:rsidRPr="00F64F0C">
              <w:rPr>
                <w:sz w:val="22"/>
                <w:szCs w:val="22"/>
              </w:rPr>
              <w:t>et a budget for participants</w:t>
            </w:r>
          </w:p>
        </w:tc>
        <w:tc>
          <w:tcPr>
            <w:tcW w:w="1370" w:type="dxa"/>
            <w:vAlign w:val="center"/>
          </w:tcPr>
          <w:p w14:paraId="04026678" w14:textId="77777777" w:rsidR="00F64F0C" w:rsidRDefault="00F64F0C" w:rsidP="00F64F0C">
            <w:pPr>
              <w:widowControl w:val="0"/>
              <w:autoSpaceDE w:val="0"/>
              <w:autoSpaceDN w:val="0"/>
              <w:adjustRightInd w:val="0"/>
              <w:jc w:val="center"/>
            </w:pPr>
            <w:r>
              <w:t>Yes</w:t>
            </w:r>
          </w:p>
        </w:tc>
        <w:tc>
          <w:tcPr>
            <w:tcW w:w="1511" w:type="dxa"/>
            <w:vAlign w:val="center"/>
          </w:tcPr>
          <w:p w14:paraId="6B21CB14" w14:textId="77777777" w:rsidR="00F64F0C" w:rsidRDefault="00F64F0C" w:rsidP="00F64F0C">
            <w:pPr>
              <w:widowControl w:val="0"/>
              <w:autoSpaceDE w:val="0"/>
              <w:autoSpaceDN w:val="0"/>
              <w:adjustRightInd w:val="0"/>
              <w:jc w:val="center"/>
            </w:pPr>
            <w:r>
              <w:t>Yes</w:t>
            </w:r>
          </w:p>
        </w:tc>
        <w:tc>
          <w:tcPr>
            <w:tcW w:w="1628" w:type="dxa"/>
            <w:vAlign w:val="center"/>
          </w:tcPr>
          <w:p w14:paraId="0A78B508" w14:textId="77777777" w:rsidR="00F64F0C" w:rsidRDefault="00F64F0C" w:rsidP="00F64F0C">
            <w:pPr>
              <w:widowControl w:val="0"/>
              <w:autoSpaceDE w:val="0"/>
              <w:autoSpaceDN w:val="0"/>
              <w:adjustRightInd w:val="0"/>
              <w:jc w:val="center"/>
            </w:pPr>
            <w:r>
              <w:t>Yes</w:t>
            </w:r>
          </w:p>
        </w:tc>
        <w:tc>
          <w:tcPr>
            <w:tcW w:w="1602" w:type="dxa"/>
            <w:vAlign w:val="center"/>
          </w:tcPr>
          <w:p w14:paraId="53C5A3A2" w14:textId="77777777" w:rsidR="00F64F0C" w:rsidRDefault="00F64F0C" w:rsidP="00F64F0C">
            <w:pPr>
              <w:widowControl w:val="0"/>
              <w:autoSpaceDE w:val="0"/>
              <w:autoSpaceDN w:val="0"/>
              <w:adjustRightInd w:val="0"/>
              <w:jc w:val="center"/>
            </w:pPr>
            <w:r>
              <w:t>Yes</w:t>
            </w:r>
          </w:p>
        </w:tc>
      </w:tr>
      <w:tr w:rsidR="00F64F0C" w14:paraId="388D4B16" w14:textId="77777777" w:rsidTr="00F64F0C">
        <w:tc>
          <w:tcPr>
            <w:tcW w:w="3244" w:type="dxa"/>
          </w:tcPr>
          <w:p w14:paraId="5B3E970C" w14:textId="77777777" w:rsidR="00F64F0C" w:rsidRPr="00593488" w:rsidRDefault="00F64F0C" w:rsidP="00673D03">
            <w:pPr>
              <w:widowControl w:val="0"/>
              <w:autoSpaceDE w:val="0"/>
              <w:autoSpaceDN w:val="0"/>
              <w:adjustRightInd w:val="0"/>
              <w:rPr>
                <w:sz w:val="10"/>
                <w:szCs w:val="10"/>
              </w:rPr>
            </w:pPr>
          </w:p>
        </w:tc>
        <w:tc>
          <w:tcPr>
            <w:tcW w:w="1370" w:type="dxa"/>
            <w:vAlign w:val="center"/>
          </w:tcPr>
          <w:p w14:paraId="0B3590C9" w14:textId="77777777" w:rsidR="00F64F0C" w:rsidRPr="00593488" w:rsidRDefault="00F64F0C" w:rsidP="00F64F0C">
            <w:pPr>
              <w:widowControl w:val="0"/>
              <w:autoSpaceDE w:val="0"/>
              <w:autoSpaceDN w:val="0"/>
              <w:adjustRightInd w:val="0"/>
              <w:jc w:val="center"/>
              <w:rPr>
                <w:sz w:val="10"/>
                <w:szCs w:val="10"/>
              </w:rPr>
            </w:pPr>
          </w:p>
        </w:tc>
        <w:tc>
          <w:tcPr>
            <w:tcW w:w="1511" w:type="dxa"/>
            <w:vAlign w:val="center"/>
          </w:tcPr>
          <w:p w14:paraId="2100384D" w14:textId="77777777" w:rsidR="00F64F0C" w:rsidRPr="00593488" w:rsidRDefault="00F64F0C" w:rsidP="00F64F0C">
            <w:pPr>
              <w:widowControl w:val="0"/>
              <w:autoSpaceDE w:val="0"/>
              <w:autoSpaceDN w:val="0"/>
              <w:adjustRightInd w:val="0"/>
              <w:jc w:val="center"/>
              <w:rPr>
                <w:sz w:val="10"/>
                <w:szCs w:val="10"/>
              </w:rPr>
            </w:pPr>
          </w:p>
        </w:tc>
        <w:tc>
          <w:tcPr>
            <w:tcW w:w="1628" w:type="dxa"/>
            <w:vAlign w:val="center"/>
          </w:tcPr>
          <w:p w14:paraId="207CAE2D" w14:textId="77777777" w:rsidR="00F64F0C" w:rsidRPr="00593488" w:rsidRDefault="00F64F0C" w:rsidP="00F64F0C">
            <w:pPr>
              <w:widowControl w:val="0"/>
              <w:autoSpaceDE w:val="0"/>
              <w:autoSpaceDN w:val="0"/>
              <w:adjustRightInd w:val="0"/>
              <w:jc w:val="center"/>
              <w:rPr>
                <w:sz w:val="10"/>
                <w:szCs w:val="10"/>
              </w:rPr>
            </w:pPr>
          </w:p>
        </w:tc>
        <w:tc>
          <w:tcPr>
            <w:tcW w:w="1602" w:type="dxa"/>
            <w:vAlign w:val="center"/>
          </w:tcPr>
          <w:p w14:paraId="6A32C3C5" w14:textId="77777777" w:rsidR="00F64F0C" w:rsidRPr="00593488" w:rsidRDefault="00F64F0C" w:rsidP="00F64F0C">
            <w:pPr>
              <w:widowControl w:val="0"/>
              <w:autoSpaceDE w:val="0"/>
              <w:autoSpaceDN w:val="0"/>
              <w:adjustRightInd w:val="0"/>
              <w:jc w:val="center"/>
              <w:rPr>
                <w:sz w:val="10"/>
                <w:szCs w:val="10"/>
              </w:rPr>
            </w:pPr>
          </w:p>
        </w:tc>
      </w:tr>
      <w:tr w:rsidR="00F64F0C" w14:paraId="71BE6049" w14:textId="77777777" w:rsidTr="00F64F0C">
        <w:tc>
          <w:tcPr>
            <w:tcW w:w="3244" w:type="dxa"/>
          </w:tcPr>
          <w:p w14:paraId="4AF5A449" w14:textId="174F23A9" w:rsidR="00F64F0C" w:rsidRPr="00F64F0C" w:rsidRDefault="00593488" w:rsidP="00673D03">
            <w:pPr>
              <w:widowControl w:val="0"/>
              <w:autoSpaceDE w:val="0"/>
              <w:autoSpaceDN w:val="0"/>
              <w:adjustRightInd w:val="0"/>
              <w:rPr>
                <w:sz w:val="22"/>
                <w:szCs w:val="22"/>
              </w:rPr>
            </w:pPr>
            <w:r>
              <w:rPr>
                <w:sz w:val="22"/>
                <w:szCs w:val="22"/>
              </w:rPr>
              <w:t>P</w:t>
            </w:r>
            <w:r w:rsidR="00F64F0C" w:rsidRPr="00F64F0C">
              <w:rPr>
                <w:sz w:val="22"/>
                <w:szCs w:val="22"/>
              </w:rPr>
              <w:t>rovide participants with feedback on the contents of their carts</w:t>
            </w:r>
          </w:p>
        </w:tc>
        <w:tc>
          <w:tcPr>
            <w:tcW w:w="1370" w:type="dxa"/>
            <w:vAlign w:val="center"/>
          </w:tcPr>
          <w:p w14:paraId="4CAC6660" w14:textId="77777777" w:rsidR="00F64F0C" w:rsidRDefault="00F64F0C" w:rsidP="00F64F0C">
            <w:pPr>
              <w:widowControl w:val="0"/>
              <w:autoSpaceDE w:val="0"/>
              <w:autoSpaceDN w:val="0"/>
              <w:adjustRightInd w:val="0"/>
              <w:jc w:val="center"/>
            </w:pPr>
            <w:r>
              <w:t>Yes</w:t>
            </w:r>
          </w:p>
        </w:tc>
        <w:tc>
          <w:tcPr>
            <w:tcW w:w="1511" w:type="dxa"/>
            <w:vAlign w:val="center"/>
          </w:tcPr>
          <w:p w14:paraId="0CE05342" w14:textId="77777777" w:rsidR="00F64F0C" w:rsidRDefault="00F64F0C" w:rsidP="00F64F0C">
            <w:pPr>
              <w:widowControl w:val="0"/>
              <w:autoSpaceDE w:val="0"/>
              <w:autoSpaceDN w:val="0"/>
              <w:adjustRightInd w:val="0"/>
              <w:jc w:val="center"/>
            </w:pPr>
            <w:r>
              <w:t>Yes</w:t>
            </w:r>
          </w:p>
        </w:tc>
        <w:tc>
          <w:tcPr>
            <w:tcW w:w="1628" w:type="dxa"/>
            <w:vAlign w:val="center"/>
          </w:tcPr>
          <w:p w14:paraId="14E6D16A" w14:textId="77777777" w:rsidR="00F64F0C" w:rsidRDefault="00F64F0C" w:rsidP="00F64F0C">
            <w:pPr>
              <w:widowControl w:val="0"/>
              <w:autoSpaceDE w:val="0"/>
              <w:autoSpaceDN w:val="0"/>
              <w:adjustRightInd w:val="0"/>
              <w:jc w:val="center"/>
            </w:pPr>
            <w:r>
              <w:t>No</w:t>
            </w:r>
          </w:p>
        </w:tc>
        <w:tc>
          <w:tcPr>
            <w:tcW w:w="1602" w:type="dxa"/>
            <w:vAlign w:val="center"/>
          </w:tcPr>
          <w:p w14:paraId="75FC7917" w14:textId="77777777" w:rsidR="00F64F0C" w:rsidRDefault="00F64F0C" w:rsidP="00F64F0C">
            <w:pPr>
              <w:widowControl w:val="0"/>
              <w:autoSpaceDE w:val="0"/>
              <w:autoSpaceDN w:val="0"/>
              <w:adjustRightInd w:val="0"/>
              <w:jc w:val="center"/>
            </w:pPr>
            <w:r>
              <w:t>No</w:t>
            </w:r>
          </w:p>
        </w:tc>
      </w:tr>
      <w:tr w:rsidR="00F64F0C" w14:paraId="61811025" w14:textId="77777777" w:rsidTr="00F64F0C">
        <w:tc>
          <w:tcPr>
            <w:tcW w:w="3244" w:type="dxa"/>
          </w:tcPr>
          <w:p w14:paraId="45F23F2F" w14:textId="77777777" w:rsidR="00F64F0C" w:rsidRPr="00593488" w:rsidRDefault="00F64F0C" w:rsidP="00673D03">
            <w:pPr>
              <w:widowControl w:val="0"/>
              <w:autoSpaceDE w:val="0"/>
              <w:autoSpaceDN w:val="0"/>
              <w:adjustRightInd w:val="0"/>
              <w:rPr>
                <w:sz w:val="10"/>
                <w:szCs w:val="10"/>
              </w:rPr>
            </w:pPr>
          </w:p>
        </w:tc>
        <w:tc>
          <w:tcPr>
            <w:tcW w:w="1370" w:type="dxa"/>
            <w:vAlign w:val="center"/>
          </w:tcPr>
          <w:p w14:paraId="796EBFE5" w14:textId="77777777" w:rsidR="00F64F0C" w:rsidRPr="00593488" w:rsidRDefault="00F64F0C" w:rsidP="00F64F0C">
            <w:pPr>
              <w:widowControl w:val="0"/>
              <w:autoSpaceDE w:val="0"/>
              <w:autoSpaceDN w:val="0"/>
              <w:adjustRightInd w:val="0"/>
              <w:jc w:val="center"/>
              <w:rPr>
                <w:sz w:val="10"/>
                <w:szCs w:val="10"/>
              </w:rPr>
            </w:pPr>
          </w:p>
        </w:tc>
        <w:tc>
          <w:tcPr>
            <w:tcW w:w="1511" w:type="dxa"/>
            <w:vAlign w:val="center"/>
          </w:tcPr>
          <w:p w14:paraId="28C49B85" w14:textId="77777777" w:rsidR="00F64F0C" w:rsidRPr="00593488" w:rsidRDefault="00F64F0C" w:rsidP="00F64F0C">
            <w:pPr>
              <w:widowControl w:val="0"/>
              <w:autoSpaceDE w:val="0"/>
              <w:autoSpaceDN w:val="0"/>
              <w:adjustRightInd w:val="0"/>
              <w:jc w:val="center"/>
              <w:rPr>
                <w:sz w:val="10"/>
                <w:szCs w:val="10"/>
              </w:rPr>
            </w:pPr>
          </w:p>
        </w:tc>
        <w:tc>
          <w:tcPr>
            <w:tcW w:w="1628" w:type="dxa"/>
            <w:vAlign w:val="center"/>
          </w:tcPr>
          <w:p w14:paraId="198F0361" w14:textId="77777777" w:rsidR="00F64F0C" w:rsidRPr="00593488" w:rsidRDefault="00F64F0C" w:rsidP="00F64F0C">
            <w:pPr>
              <w:widowControl w:val="0"/>
              <w:autoSpaceDE w:val="0"/>
              <w:autoSpaceDN w:val="0"/>
              <w:adjustRightInd w:val="0"/>
              <w:jc w:val="center"/>
              <w:rPr>
                <w:sz w:val="10"/>
                <w:szCs w:val="10"/>
              </w:rPr>
            </w:pPr>
          </w:p>
        </w:tc>
        <w:tc>
          <w:tcPr>
            <w:tcW w:w="1602" w:type="dxa"/>
            <w:vAlign w:val="center"/>
          </w:tcPr>
          <w:p w14:paraId="1E814D59" w14:textId="77777777" w:rsidR="00F64F0C" w:rsidRPr="00593488" w:rsidRDefault="00F64F0C" w:rsidP="00F64F0C">
            <w:pPr>
              <w:widowControl w:val="0"/>
              <w:autoSpaceDE w:val="0"/>
              <w:autoSpaceDN w:val="0"/>
              <w:adjustRightInd w:val="0"/>
              <w:jc w:val="center"/>
              <w:rPr>
                <w:sz w:val="10"/>
                <w:szCs w:val="10"/>
              </w:rPr>
            </w:pPr>
          </w:p>
        </w:tc>
      </w:tr>
      <w:tr w:rsidR="00F64F0C" w14:paraId="0DFA9711" w14:textId="77777777" w:rsidTr="00F64F0C">
        <w:tc>
          <w:tcPr>
            <w:tcW w:w="3244" w:type="dxa"/>
          </w:tcPr>
          <w:p w14:paraId="2F80D751" w14:textId="663DB9C9" w:rsidR="00F64F0C" w:rsidRPr="00F64F0C" w:rsidRDefault="00593488" w:rsidP="00673D03">
            <w:pPr>
              <w:widowControl w:val="0"/>
              <w:autoSpaceDE w:val="0"/>
              <w:autoSpaceDN w:val="0"/>
              <w:adjustRightInd w:val="0"/>
              <w:rPr>
                <w:sz w:val="22"/>
                <w:szCs w:val="22"/>
              </w:rPr>
            </w:pPr>
            <w:r>
              <w:rPr>
                <w:sz w:val="22"/>
                <w:szCs w:val="22"/>
              </w:rPr>
              <w:t>C</w:t>
            </w:r>
            <w:r w:rsidR="00F64F0C" w:rsidRPr="00F64F0C">
              <w:rPr>
                <w:sz w:val="22"/>
                <w:szCs w:val="22"/>
              </w:rPr>
              <w:t>hange the prices of products in the store</w:t>
            </w:r>
          </w:p>
        </w:tc>
        <w:tc>
          <w:tcPr>
            <w:tcW w:w="1370" w:type="dxa"/>
            <w:vAlign w:val="center"/>
          </w:tcPr>
          <w:p w14:paraId="7CD10F92" w14:textId="77777777" w:rsidR="00F64F0C" w:rsidRDefault="00F64F0C" w:rsidP="00F64F0C">
            <w:pPr>
              <w:widowControl w:val="0"/>
              <w:autoSpaceDE w:val="0"/>
              <w:autoSpaceDN w:val="0"/>
              <w:adjustRightInd w:val="0"/>
              <w:jc w:val="center"/>
            </w:pPr>
            <w:r>
              <w:t>No</w:t>
            </w:r>
          </w:p>
        </w:tc>
        <w:tc>
          <w:tcPr>
            <w:tcW w:w="1511" w:type="dxa"/>
            <w:vAlign w:val="center"/>
          </w:tcPr>
          <w:p w14:paraId="7B4F4960" w14:textId="77777777" w:rsidR="00F64F0C" w:rsidRDefault="00F64F0C" w:rsidP="00F64F0C">
            <w:pPr>
              <w:widowControl w:val="0"/>
              <w:autoSpaceDE w:val="0"/>
              <w:autoSpaceDN w:val="0"/>
              <w:adjustRightInd w:val="0"/>
              <w:jc w:val="center"/>
            </w:pPr>
            <w:r>
              <w:t>Yes</w:t>
            </w:r>
          </w:p>
        </w:tc>
        <w:tc>
          <w:tcPr>
            <w:tcW w:w="1628" w:type="dxa"/>
            <w:vAlign w:val="center"/>
          </w:tcPr>
          <w:p w14:paraId="2BBED319" w14:textId="77777777" w:rsidR="00F64F0C" w:rsidRDefault="00F64F0C" w:rsidP="00F64F0C">
            <w:pPr>
              <w:widowControl w:val="0"/>
              <w:autoSpaceDE w:val="0"/>
              <w:autoSpaceDN w:val="0"/>
              <w:adjustRightInd w:val="0"/>
              <w:jc w:val="center"/>
            </w:pPr>
            <w:r>
              <w:t>Yes</w:t>
            </w:r>
          </w:p>
        </w:tc>
        <w:tc>
          <w:tcPr>
            <w:tcW w:w="1602" w:type="dxa"/>
            <w:vAlign w:val="center"/>
          </w:tcPr>
          <w:p w14:paraId="52B53D39" w14:textId="77777777" w:rsidR="00F64F0C" w:rsidRDefault="00F64F0C" w:rsidP="00F64F0C">
            <w:pPr>
              <w:widowControl w:val="0"/>
              <w:autoSpaceDE w:val="0"/>
              <w:autoSpaceDN w:val="0"/>
              <w:adjustRightInd w:val="0"/>
              <w:jc w:val="center"/>
            </w:pPr>
            <w:r>
              <w:t>Yes</w:t>
            </w:r>
          </w:p>
        </w:tc>
      </w:tr>
      <w:tr w:rsidR="00F64F0C" w14:paraId="1E8B767B" w14:textId="77777777" w:rsidTr="00F64F0C">
        <w:tc>
          <w:tcPr>
            <w:tcW w:w="3244" w:type="dxa"/>
          </w:tcPr>
          <w:p w14:paraId="5E39EDBC" w14:textId="77777777" w:rsidR="00F64F0C" w:rsidRPr="00593488" w:rsidRDefault="00F64F0C" w:rsidP="00673D03">
            <w:pPr>
              <w:widowControl w:val="0"/>
              <w:autoSpaceDE w:val="0"/>
              <w:autoSpaceDN w:val="0"/>
              <w:adjustRightInd w:val="0"/>
              <w:rPr>
                <w:sz w:val="10"/>
                <w:szCs w:val="10"/>
              </w:rPr>
            </w:pPr>
          </w:p>
        </w:tc>
        <w:tc>
          <w:tcPr>
            <w:tcW w:w="1370" w:type="dxa"/>
            <w:vAlign w:val="center"/>
          </w:tcPr>
          <w:p w14:paraId="6F62261A" w14:textId="77777777" w:rsidR="00F64F0C" w:rsidRPr="00593488" w:rsidRDefault="00F64F0C" w:rsidP="00F64F0C">
            <w:pPr>
              <w:widowControl w:val="0"/>
              <w:autoSpaceDE w:val="0"/>
              <w:autoSpaceDN w:val="0"/>
              <w:adjustRightInd w:val="0"/>
              <w:jc w:val="center"/>
              <w:rPr>
                <w:sz w:val="10"/>
                <w:szCs w:val="10"/>
              </w:rPr>
            </w:pPr>
          </w:p>
        </w:tc>
        <w:tc>
          <w:tcPr>
            <w:tcW w:w="1511" w:type="dxa"/>
            <w:vAlign w:val="center"/>
          </w:tcPr>
          <w:p w14:paraId="235CA75D" w14:textId="77777777" w:rsidR="00F64F0C" w:rsidRPr="00593488" w:rsidRDefault="00F64F0C" w:rsidP="00F64F0C">
            <w:pPr>
              <w:widowControl w:val="0"/>
              <w:autoSpaceDE w:val="0"/>
              <w:autoSpaceDN w:val="0"/>
              <w:adjustRightInd w:val="0"/>
              <w:jc w:val="center"/>
              <w:rPr>
                <w:sz w:val="10"/>
                <w:szCs w:val="10"/>
              </w:rPr>
            </w:pPr>
          </w:p>
        </w:tc>
        <w:tc>
          <w:tcPr>
            <w:tcW w:w="1628" w:type="dxa"/>
            <w:vAlign w:val="center"/>
          </w:tcPr>
          <w:p w14:paraId="348D4E43" w14:textId="77777777" w:rsidR="00F64F0C" w:rsidRPr="00593488" w:rsidRDefault="00F64F0C" w:rsidP="00F64F0C">
            <w:pPr>
              <w:widowControl w:val="0"/>
              <w:autoSpaceDE w:val="0"/>
              <w:autoSpaceDN w:val="0"/>
              <w:adjustRightInd w:val="0"/>
              <w:jc w:val="center"/>
              <w:rPr>
                <w:sz w:val="10"/>
                <w:szCs w:val="10"/>
              </w:rPr>
            </w:pPr>
          </w:p>
        </w:tc>
        <w:tc>
          <w:tcPr>
            <w:tcW w:w="1602" w:type="dxa"/>
            <w:vAlign w:val="center"/>
          </w:tcPr>
          <w:p w14:paraId="2C003203" w14:textId="77777777" w:rsidR="00F64F0C" w:rsidRPr="00593488" w:rsidRDefault="00F64F0C" w:rsidP="00F64F0C">
            <w:pPr>
              <w:widowControl w:val="0"/>
              <w:autoSpaceDE w:val="0"/>
              <w:autoSpaceDN w:val="0"/>
              <w:adjustRightInd w:val="0"/>
              <w:jc w:val="center"/>
              <w:rPr>
                <w:sz w:val="10"/>
                <w:szCs w:val="10"/>
              </w:rPr>
            </w:pPr>
          </w:p>
        </w:tc>
      </w:tr>
      <w:tr w:rsidR="00F64F0C" w14:paraId="4553EE89" w14:textId="77777777" w:rsidTr="00F64F0C">
        <w:tc>
          <w:tcPr>
            <w:tcW w:w="3244" w:type="dxa"/>
            <w:tcBorders>
              <w:bottom w:val="single" w:sz="4" w:space="0" w:color="auto"/>
            </w:tcBorders>
          </w:tcPr>
          <w:p w14:paraId="6182151B" w14:textId="77777777" w:rsidR="00F64F0C" w:rsidRPr="00F64F0C" w:rsidRDefault="00F64F0C" w:rsidP="00673D03">
            <w:pPr>
              <w:widowControl w:val="0"/>
              <w:autoSpaceDE w:val="0"/>
              <w:autoSpaceDN w:val="0"/>
              <w:adjustRightInd w:val="0"/>
              <w:rPr>
                <w:sz w:val="22"/>
                <w:szCs w:val="22"/>
              </w:rPr>
            </w:pPr>
            <w:r w:rsidRPr="00F64F0C">
              <w:rPr>
                <w:sz w:val="22"/>
                <w:szCs w:val="22"/>
              </w:rPr>
              <w:t>Does the store include brand name products?</w:t>
            </w:r>
          </w:p>
        </w:tc>
        <w:tc>
          <w:tcPr>
            <w:tcW w:w="1370" w:type="dxa"/>
            <w:tcBorders>
              <w:bottom w:val="single" w:sz="4" w:space="0" w:color="auto"/>
            </w:tcBorders>
            <w:vAlign w:val="center"/>
          </w:tcPr>
          <w:p w14:paraId="567093E9" w14:textId="77777777" w:rsidR="00F64F0C" w:rsidRDefault="00F64F0C" w:rsidP="00F64F0C">
            <w:pPr>
              <w:widowControl w:val="0"/>
              <w:autoSpaceDE w:val="0"/>
              <w:autoSpaceDN w:val="0"/>
              <w:adjustRightInd w:val="0"/>
              <w:jc w:val="center"/>
            </w:pPr>
            <w:r>
              <w:t>Yes</w:t>
            </w:r>
          </w:p>
        </w:tc>
        <w:tc>
          <w:tcPr>
            <w:tcW w:w="1511" w:type="dxa"/>
            <w:tcBorders>
              <w:bottom w:val="single" w:sz="4" w:space="0" w:color="auto"/>
            </w:tcBorders>
            <w:vAlign w:val="center"/>
          </w:tcPr>
          <w:p w14:paraId="37E72916" w14:textId="77777777" w:rsidR="00F64F0C" w:rsidRDefault="00F64F0C" w:rsidP="00F64F0C">
            <w:pPr>
              <w:widowControl w:val="0"/>
              <w:autoSpaceDE w:val="0"/>
              <w:autoSpaceDN w:val="0"/>
              <w:adjustRightInd w:val="0"/>
              <w:jc w:val="center"/>
            </w:pPr>
            <w:r>
              <w:t>Yes</w:t>
            </w:r>
          </w:p>
        </w:tc>
        <w:tc>
          <w:tcPr>
            <w:tcW w:w="1628" w:type="dxa"/>
            <w:tcBorders>
              <w:bottom w:val="single" w:sz="4" w:space="0" w:color="auto"/>
            </w:tcBorders>
            <w:vAlign w:val="center"/>
          </w:tcPr>
          <w:p w14:paraId="3A2009DC" w14:textId="77777777" w:rsidR="00F64F0C" w:rsidRDefault="00F64F0C" w:rsidP="00F64F0C">
            <w:pPr>
              <w:widowControl w:val="0"/>
              <w:autoSpaceDE w:val="0"/>
              <w:autoSpaceDN w:val="0"/>
              <w:adjustRightInd w:val="0"/>
              <w:jc w:val="center"/>
            </w:pPr>
            <w:r>
              <w:t>N/A</w:t>
            </w:r>
          </w:p>
        </w:tc>
        <w:tc>
          <w:tcPr>
            <w:tcW w:w="1602" w:type="dxa"/>
            <w:tcBorders>
              <w:bottom w:val="single" w:sz="4" w:space="0" w:color="auto"/>
            </w:tcBorders>
            <w:vAlign w:val="center"/>
          </w:tcPr>
          <w:p w14:paraId="7A2700BB" w14:textId="77777777" w:rsidR="00F64F0C" w:rsidRDefault="00F64F0C" w:rsidP="00F64F0C">
            <w:pPr>
              <w:widowControl w:val="0"/>
              <w:autoSpaceDE w:val="0"/>
              <w:autoSpaceDN w:val="0"/>
              <w:adjustRightInd w:val="0"/>
              <w:jc w:val="center"/>
            </w:pPr>
            <w:r>
              <w:t>No</w:t>
            </w:r>
          </w:p>
        </w:tc>
      </w:tr>
    </w:tbl>
    <w:p w14:paraId="2853654A" w14:textId="77777777" w:rsidR="00F64F0C" w:rsidRDefault="00F64F0C" w:rsidP="000919D4">
      <w:pPr>
        <w:spacing w:line="480" w:lineRule="auto"/>
        <w:ind w:firstLine="720"/>
        <w:rPr>
          <w:rFonts w:eastAsia="Times New Roman"/>
        </w:rPr>
      </w:pPr>
    </w:p>
    <w:p w14:paraId="577DC565" w14:textId="58C866AC" w:rsidR="00432BBB" w:rsidRDefault="00432BBB" w:rsidP="00432BBB">
      <w:pPr>
        <w:spacing w:line="480" w:lineRule="auto"/>
        <w:rPr>
          <w:rFonts w:eastAsia="Times New Roman"/>
        </w:rPr>
      </w:pPr>
      <w:r>
        <w:rPr>
          <w:rFonts w:eastAsia="Times New Roman"/>
          <w:i/>
          <w:iCs/>
        </w:rPr>
        <w:tab/>
      </w:r>
      <w:r>
        <w:rPr>
          <w:rFonts w:eastAsia="Times New Roman"/>
        </w:rPr>
        <w:t xml:space="preserve">In the following sections, we provide </w:t>
      </w:r>
      <w:r w:rsidR="00E37939">
        <w:rPr>
          <w:rFonts w:eastAsia="Times New Roman"/>
        </w:rPr>
        <w:t>three</w:t>
      </w:r>
      <w:r>
        <w:rPr>
          <w:rFonts w:eastAsia="Times New Roman"/>
        </w:rPr>
        <w:t xml:space="preserve"> illustrations of the store. We test t</w:t>
      </w:r>
      <w:r w:rsidR="004C0094">
        <w:rPr>
          <w:rFonts w:eastAsia="Times New Roman"/>
        </w:rPr>
        <w:t>hree</w:t>
      </w:r>
      <w:r>
        <w:rPr>
          <w:rFonts w:eastAsia="Times New Roman"/>
        </w:rPr>
        <w:t xml:space="preserve"> choice </w:t>
      </w:r>
      <w:r w:rsidR="00981701">
        <w:rPr>
          <w:rFonts w:eastAsia="Times New Roman"/>
        </w:rPr>
        <w:t xml:space="preserve">context </w:t>
      </w:r>
      <w:r>
        <w:rPr>
          <w:rFonts w:eastAsia="Times New Roman"/>
        </w:rPr>
        <w:t>interventions that are backed by empirical work: front-of-package labels</w:t>
      </w:r>
      <w:r w:rsidR="004C0094">
        <w:rPr>
          <w:rFonts w:eastAsia="Times New Roman"/>
        </w:rPr>
        <w:t>,</w:t>
      </w:r>
      <w:r>
        <w:rPr>
          <w:rFonts w:eastAsia="Times New Roman"/>
        </w:rPr>
        <w:t xml:space="preserve"> </w:t>
      </w:r>
      <w:r w:rsidR="00087995">
        <w:rPr>
          <w:rFonts w:eastAsia="Times New Roman"/>
        </w:rPr>
        <w:t xml:space="preserve">within-page </w:t>
      </w:r>
      <w:r>
        <w:rPr>
          <w:rFonts w:eastAsia="Times New Roman"/>
        </w:rPr>
        <w:t>sorting</w:t>
      </w:r>
      <w:r w:rsidR="004C0094">
        <w:rPr>
          <w:rFonts w:eastAsia="Times New Roman"/>
        </w:rPr>
        <w:t>, and product categorical organization</w:t>
      </w:r>
      <w:r>
        <w:rPr>
          <w:rFonts w:eastAsia="Times New Roman"/>
        </w:rPr>
        <w:t xml:space="preserve">.  </w:t>
      </w:r>
      <w:r w:rsidRPr="004C0094">
        <w:rPr>
          <w:rFonts w:eastAsia="Times New Roman"/>
        </w:rPr>
        <w:t xml:space="preserve">By testing well-known interventions, we hoped to replicate the findings of prior field studies. </w:t>
      </w:r>
      <w:r w:rsidR="00087995" w:rsidRPr="004C0094">
        <w:rPr>
          <w:rFonts w:eastAsia="Times New Roman"/>
        </w:rPr>
        <w:t>Thus,</w:t>
      </w:r>
      <w:r w:rsidRPr="004C0094">
        <w:rPr>
          <w:rFonts w:eastAsia="Times New Roman"/>
        </w:rPr>
        <w:t xml:space="preserve"> demonstrating that novel innovations tested in OSOG would be likely to predict real world response to such interventions</w:t>
      </w:r>
      <w:r>
        <w:rPr>
          <w:rFonts w:eastAsia="Times New Roman"/>
        </w:rPr>
        <w:t xml:space="preserve">. </w:t>
      </w:r>
      <w:r w:rsidR="00087995">
        <w:rPr>
          <w:rFonts w:eastAsia="Times New Roman"/>
        </w:rPr>
        <w:t>Recall that our purpose in running these studies was not to make a robust theoretical contribution, rather to introduce some of the functionalities of the tool and examine whether consumer behavior in the store is concordant with the existing literature.</w:t>
      </w:r>
    </w:p>
    <w:p w14:paraId="3D682EB0" w14:textId="77777777" w:rsidR="00501488" w:rsidRDefault="00501488" w:rsidP="00501488">
      <w:pPr>
        <w:spacing w:line="480" w:lineRule="auto"/>
        <w:rPr>
          <w:rFonts w:eastAsia="Times New Roman"/>
          <w:b/>
          <w:bCs/>
        </w:rPr>
      </w:pPr>
    </w:p>
    <w:p w14:paraId="7267F568" w14:textId="4C142F52" w:rsidR="00432BBB" w:rsidRPr="00895CD2" w:rsidRDefault="00432BBB" w:rsidP="00895CD2">
      <w:pPr>
        <w:spacing w:line="480" w:lineRule="auto"/>
        <w:rPr>
          <w:rFonts w:eastAsia="Times New Roman"/>
          <w:b/>
          <w:bCs/>
        </w:rPr>
      </w:pPr>
      <w:r w:rsidRPr="00895CD2">
        <w:rPr>
          <w:rFonts w:eastAsia="Times New Roman"/>
          <w:b/>
          <w:bCs/>
        </w:rPr>
        <w:t>ILLUSTRATION I: FRONT-OF-PACKAGE HEALTH LABELS</w:t>
      </w:r>
    </w:p>
    <w:p w14:paraId="76A4E400" w14:textId="76F4B17A" w:rsidR="00501488" w:rsidRDefault="00501488" w:rsidP="008A3E5E">
      <w:pPr>
        <w:spacing w:line="480" w:lineRule="auto"/>
        <w:rPr>
          <w:rFonts w:eastAsia="Times New Roman"/>
        </w:rPr>
      </w:pPr>
      <w:r>
        <w:rPr>
          <w:rFonts w:eastAsia="Times New Roman"/>
          <w:b/>
          <w:bCs/>
        </w:rPr>
        <w:tab/>
      </w:r>
      <w:r>
        <w:rPr>
          <w:rFonts w:eastAsia="Times New Roman"/>
        </w:rPr>
        <w:t xml:space="preserve">Front-of-package (FOP) labels appear on the outward facing side of product packaging in brick-and-mortar stores. In online stores, FOP labels appear directly on or below the product </w:t>
      </w:r>
      <w:r>
        <w:rPr>
          <w:rFonts w:eastAsia="Times New Roman"/>
        </w:rPr>
        <w:lastRenderedPageBreak/>
        <w:t xml:space="preserve">photograph when consumers </w:t>
      </w:r>
      <w:r w:rsidR="00C4340C">
        <w:rPr>
          <w:rFonts w:eastAsia="Times New Roman"/>
        </w:rPr>
        <w:t>browse</w:t>
      </w:r>
      <w:r>
        <w:rPr>
          <w:rFonts w:eastAsia="Times New Roman"/>
        </w:rPr>
        <w:t xml:space="preserve"> the product overview page. The purpose of these labels is to provide easily understandable information to the consumer. </w:t>
      </w:r>
      <w:r w:rsidR="001957E2">
        <w:rPr>
          <w:rFonts w:eastAsia="Times New Roman"/>
        </w:rPr>
        <w:t>FOP</w:t>
      </w:r>
      <w:r>
        <w:rPr>
          <w:rFonts w:eastAsia="Times New Roman"/>
        </w:rPr>
        <w:t xml:space="preserve"> labels can indicate a variety of characteristics (e.g., organic, allergen-free). Research has largely focused on the effect</w:t>
      </w:r>
      <w:r w:rsidR="00C4340C">
        <w:rPr>
          <w:rFonts w:eastAsia="Times New Roman"/>
        </w:rPr>
        <w:t>s</w:t>
      </w:r>
      <w:r>
        <w:rPr>
          <w:rFonts w:eastAsia="Times New Roman"/>
        </w:rPr>
        <w:t xml:space="preserve"> of FOP health labels (e.g</w:t>
      </w:r>
      <w:r w:rsidR="001957E2">
        <w:rPr>
          <w:rFonts w:eastAsia="Times New Roman"/>
        </w:rPr>
        <w:t>.</w:t>
      </w:r>
      <w:r>
        <w:rPr>
          <w:rFonts w:eastAsia="Times New Roman"/>
        </w:rPr>
        <w:t>, traffic lights, guiding stars, heart check).</w:t>
      </w:r>
    </w:p>
    <w:p w14:paraId="2317F0D5" w14:textId="273550AF" w:rsidR="00B56EF5" w:rsidRDefault="00501488" w:rsidP="008A3E5E">
      <w:pPr>
        <w:spacing w:line="480" w:lineRule="auto"/>
        <w:rPr>
          <w:rFonts w:eastAsia="Times New Roman"/>
        </w:rPr>
      </w:pPr>
      <w:r>
        <w:rPr>
          <w:rFonts w:eastAsia="Times New Roman"/>
        </w:rPr>
        <w:tab/>
      </w:r>
      <w:r w:rsidR="009370FB" w:rsidRPr="009370FB">
        <w:rPr>
          <w:rFonts w:eastAsia="Times New Roman"/>
        </w:rPr>
        <w:t>The effect</w:t>
      </w:r>
      <w:r w:rsidR="00C4340C">
        <w:rPr>
          <w:rFonts w:eastAsia="Times New Roman"/>
        </w:rPr>
        <w:t>s</w:t>
      </w:r>
      <w:r w:rsidR="009370FB" w:rsidRPr="009370FB">
        <w:rPr>
          <w:rFonts w:eastAsia="Times New Roman"/>
        </w:rPr>
        <w:t xml:space="preserve"> of front-of-package </w:t>
      </w:r>
      <w:r>
        <w:rPr>
          <w:rFonts w:eastAsia="Times New Roman"/>
        </w:rPr>
        <w:t xml:space="preserve">health </w:t>
      </w:r>
      <w:r w:rsidR="009370FB" w:rsidRPr="009370FB">
        <w:rPr>
          <w:rFonts w:eastAsia="Times New Roman"/>
        </w:rPr>
        <w:t xml:space="preserve">labels on food choice is </w:t>
      </w:r>
      <w:r w:rsidR="009370FB">
        <w:rPr>
          <w:rFonts w:eastAsia="Times New Roman"/>
        </w:rPr>
        <w:t xml:space="preserve">highly variable. </w:t>
      </w:r>
      <w:r w:rsidR="00F809E4">
        <w:rPr>
          <w:rFonts w:eastAsia="Times New Roman"/>
        </w:rPr>
        <w:t xml:space="preserve"> </w:t>
      </w:r>
      <w:r w:rsidR="00200613">
        <w:rPr>
          <w:rFonts w:eastAsia="Times New Roman"/>
        </w:rPr>
        <w:t>A</w:t>
      </w:r>
      <w:r w:rsidR="00F809E4">
        <w:rPr>
          <w:rFonts w:eastAsia="Times New Roman"/>
        </w:rPr>
        <w:t xml:space="preserve"> Cochrane review</w:t>
      </w:r>
      <w:r w:rsidR="008A3E5E">
        <w:rPr>
          <w:rFonts w:eastAsia="Times New Roman"/>
        </w:rPr>
        <w:t xml:space="preserve"> </w:t>
      </w:r>
      <w:r w:rsidR="008A3E5E">
        <w:rPr>
          <w:rFonts w:eastAsia="Times New Roman"/>
        </w:rPr>
        <w:fldChar w:fldCharType="begin" w:fldLock="1"/>
      </w:r>
      <w:r w:rsidR="000630D1">
        <w:rPr>
          <w:rFonts w:eastAsia="Times New Roman"/>
        </w:rPr>
        <w:instrText>ADDIN CSL_CITATION {"citationItems":[{"id":"ITEM-1","itemData":{"DOI":"10.1002/14651858.CD009315.pub2","ISSN":"1469493X","PMID":"29482264","abstract":"Background: Nutritional labelling is advocated as a means to promote healthier food purchasing and consumption, including lower energy intake. Internationally, many different nutritional labelling schemes have been introduced. There is no consensus on whether such labelling is effective in promoting healthier behaviour. Objectives: To assess the impact of nutritional labelling for food and non-alcoholic drinks on purchasing and consumption of healthier items. Our secondary objective was to explore possible effect moderators of nutritional labelling on purchasing and consumption. Search methods: We searched 13 electronic databases including CENTRAL, MEDLINE and Embase to 26 April 2017. We also handsearched references and citations and sought unpublished studies through websites and trials registries. Selection criteria: Eligible studies: were randomised or quasi-randomised controlled trials (RCTs/Q-RCTs), controlled before-and-after studies, or interrupted time series (ITS) studies; compared a labelled product (with information on nutrients or energy) with the same product without a nutritional label; assessed objectively measured purchasing or consumption of foods or non-alcoholic drinks in real-world or laboratory settings. Data collection and analysis: Two authors independently selected studies for inclusion and extracted study data. We applied the Cochrane 'Risk of bias' tool and GRADE to assess the quality of evidence. We pooled studies that evaluated similar interventions and outcomes using a random-effects meta-analysis, and we synthesised data from other studies in a narrative summary. Main results: We included 28 studies, comprising 17 RCTs, 5 Q-RCTs and 6 ITS studies. Most (21/28) took place in the USA, and 19 took place in university settings, 14 of which mainly involved university students or staff. Most (20/28) studies assessed the impact of labelling on menus or menu boards, or nutritional labelling placed on, or adjacent to, a range of foods or drinks from which participants could choose. Eight studies provided participants with only one labelled food or drink option (in which labelling was present on a container or packaging, adjacent to the food or on a display board) and measured the amount consumed. The most frequently assessed labelling type was energy (i.e. calorie) information (12/28). Eleven studies assessed the impact of nutritional labelling on purchasing food or drink options in real-world settings, including purchases from vend…","author":[{"dropping-particle":"","family":"Crockett","given":"Rachel A.","non-dropping-particle":"","parse-names":false,"suffix":""},{"dropping-particle":"","family":"King","given":"Sarah E.","non-dropping-particle":"","parse-names":false,"suffix":""},{"dropping-particle":"","family":"Marteau","given":"Theresa M.","non-dropping-particle":"","parse-names":false,"suffix":""},{"dropping-particle":"","family":"Prevost","given":"A. T.","non-dropping-particle":"","parse-names":false,"suffix":""},{"dropping-particle":"","family":"Bignardi","given":"Giacomo","non-dropping-particle":"","parse-names":false,"suffix":""},{"dropping-particle":"","family":"Roberts","given":"Nia W.","non-dropping-particle":"","parse-names":false,"suffix":""},{"dropping-particle":"","family":"Stubbs","given":"Brendon","non-dropping-particle":"","parse-names":false,"suffix":""},{"dropping-particle":"","family":"Hollands","given":"Gareth J.","non-dropping-particle":"","parse-names":false,"suffix":""},{"dropping-particle":"","family":"Jebb","given":"Susan A.","non-dropping-particle":"","parse-names":false,"suffix":""}],"container-title":"Cochrane Database of Systematic Reviews","id":"ITEM-1","issue":"2","issued":{"date-parts":[["2018"]]},"title":"Nutritional labelling for healthier food or non-alcoholic drink purchasing and consumption","type":"article-journal","volume":"2018"},"uris":["http://www.mendeley.com/documents/?uuid=c734b561-6536-486d-ba8c-7494698967b2"]}],"mendeley":{"formattedCitation":"(Crockett et al. 2018)","plainTextFormattedCitation":"(Crockett et al. 2018)","previouslyFormattedCitation":"(Crockett et al. 2018)"},"properties":{"noteIndex":0},"schema":"https://github.com/citation-style-language/schema/raw/master/csl-citation.json"}</w:instrText>
      </w:r>
      <w:r w:rsidR="008A3E5E">
        <w:rPr>
          <w:rFonts w:eastAsia="Times New Roman"/>
        </w:rPr>
        <w:fldChar w:fldCharType="separate"/>
      </w:r>
      <w:r w:rsidR="000630D1" w:rsidRPr="000630D1">
        <w:rPr>
          <w:rFonts w:eastAsia="Times New Roman"/>
          <w:noProof/>
        </w:rPr>
        <w:t>(Crockett et al. 2018)</w:t>
      </w:r>
      <w:r w:rsidR="008A3E5E">
        <w:rPr>
          <w:rFonts w:eastAsia="Times New Roman"/>
        </w:rPr>
        <w:fldChar w:fldCharType="end"/>
      </w:r>
      <w:r w:rsidR="00200613">
        <w:rPr>
          <w:rFonts w:eastAsia="Times New Roman"/>
        </w:rPr>
        <w:t>,</w:t>
      </w:r>
      <w:r w:rsidR="008A3E5E">
        <w:rPr>
          <w:rFonts w:eastAsia="Times New Roman"/>
        </w:rPr>
        <w:t xml:space="preserve"> a review of field studies </w:t>
      </w:r>
      <w:r w:rsidR="008A3E5E">
        <w:rPr>
          <w:rFonts w:eastAsia="Times New Roman"/>
        </w:rPr>
        <w:fldChar w:fldCharType="begin" w:fldLock="1"/>
      </w:r>
      <w:r w:rsidR="000630D1">
        <w:rPr>
          <w:rFonts w:eastAsia="Times New Roman"/>
        </w:rPr>
        <w:instrText>ADDIN CSL_CITATION {"citationItems":[{"id":"ITEM-1","itemData":{"DOI":"10.1287/mksc.2018.1128","ISBN":"0000000256","ISSN":"1526548X","abstract":"We examine the effectiveness in field settings of seven healthy eating nudges, clas sified according to whether they are (1) cognitively oriented, such as “descriptive nutritional labeling,” “evaluative nutritional labeling,” or “visibility enhancements”; (2) affectively oriented, such as “hedonic enhancements or “healthy eating calls”; or (3) behaviorally oriented, such as “convenience enhancements” or “size enhancements.” Our multivariate, three-level meta-analysis of 299 effect sizes, controlling for eating behavior, population, and study characteristics, yields a standardized mean difference (Cohen’s d)of0.23(equivalentto−124 kcal/day). Effect sizes increase as the focus of the nudges shifts from cognition (d =0.12,−64 kcal) to affect (d = 0.24, −129 kcal) to behavior (d = 0.39, −209 kcal). Interventions are more effective at reducing unhealthy eating than increasing healthy eating or reducing total eating. Effect sizes are larger in the United States than in other countries, in restaurants or cafeterias than in grocery stores, and in studies including a control group. Effect sizes are similar for food selection versus consumption and for children versus adults and are independent of study duration. Compared with the typical nudge study (d = 0.12), one implementing the best nudge scenario can expect a sixfold increase in effectiveness (to d = 0.74) with half theresultofswitchingfromcognitivelyoriented to behaviorally oriented nudges.","author":[{"dropping-particle":"","family":"Cadario","given":"Romain","non-dropping-particle":"","parse-names":false,"suffix":""},{"dropping-particle":"","family":"Chandon","given":"Pierre","non-dropping-particle":"","parse-names":false,"suffix":""}],"container-title":"Marketing Science","id":"ITEM-1","issue":"3","issued":{"date-parts":[["2020"]]},"page":"465-486","title":"Which healthy eating nudges work best? A meta-analysis of field experiments","type":"article-journal","volume":"39"},"uris":["http://www.mendeley.com/documents/?uuid=ce1e4f49-291c-49c9-8ca7-3b45a3a57a7b"]}],"mendeley":{"formattedCitation":"(Cadario and Chandon 2020)","plainTextFormattedCitation":"(Cadario and Chandon 2020)","previouslyFormattedCitation":"(Cadario and Chandon 2020)"},"properties":{"noteIndex":0},"schema":"https://github.com/citation-style-language/schema/raw/master/csl-citation.json"}</w:instrText>
      </w:r>
      <w:r w:rsidR="008A3E5E">
        <w:rPr>
          <w:rFonts w:eastAsia="Times New Roman"/>
        </w:rPr>
        <w:fldChar w:fldCharType="separate"/>
      </w:r>
      <w:r w:rsidR="000630D1" w:rsidRPr="000630D1">
        <w:rPr>
          <w:rFonts w:eastAsia="Times New Roman"/>
          <w:noProof/>
        </w:rPr>
        <w:t>(Cadario and Chandon 2020)</w:t>
      </w:r>
      <w:r w:rsidR="008A3E5E">
        <w:rPr>
          <w:rFonts w:eastAsia="Times New Roman"/>
        </w:rPr>
        <w:fldChar w:fldCharType="end"/>
      </w:r>
      <w:r w:rsidR="00200613">
        <w:rPr>
          <w:rFonts w:eastAsia="Times New Roman"/>
        </w:rPr>
        <w:t xml:space="preserve">, and a large-scale RCT </w:t>
      </w:r>
      <w:r w:rsidR="00200613">
        <w:rPr>
          <w:rFonts w:eastAsia="Times New Roman"/>
        </w:rPr>
        <w:fldChar w:fldCharType="begin" w:fldLock="1"/>
      </w:r>
      <w:r w:rsidR="005E5E82">
        <w:rPr>
          <w:rFonts w:eastAsia="Times New Roman"/>
        </w:rPr>
        <w:instrText>ADDIN CSL_CITATION {"citationItems":[{"id":"ITEM-1","itemData":{"DOI":"10.1007/s11747-020-00723-5","ISSN":"15527824","abstract":"To examine whether four pre-selected front-of-pack nutrition labels improve food purchases in real-life grocery shopping settings, we put 1.9 million labels on 1266 food products in four categories in 60 supermarkets and analyzed the nutritional quality of 1,668,301 purchases using the FSA nutrient profiling score. Effect sizes were 17 times smaller on average than those found in comparable laboratory studies. The most effective nutrition label, Nutri-Score, increased the purchases of foods in the top third of their category nutrition-wise by 14%, but had no impact on the purchases of foods with medium, low, or unlabeled nutrition quality. Therefore, Nutri-Score only improved the nutritional quality of the basket of labeled foods purchased by 2.5% (−0.142 FSA points). Nutri-Score’s performance improved with the variance (but not the mean) of the nutritional quality of the category. In-store surveys suggest that Nutri-Score’s ability to attract attention and help shoppers rank products by nutritional quality may explain its performance.","author":[{"dropping-particle":"","family":"Dubois","given":"Pierre","non-dropping-particle":"","parse-names":false,"suffix":""},{"dropping-particle":"","family":"Albuquerque","given":"Paulo","non-dropping-particle":"","parse-names":false,"suffix":""},{"dropping-particle":"","family":"Allais","given":"Olivier","non-dropping-particle":"","parse-names":false,"suffix":""},{"dropping-particle":"","family":"Bonnet","given":"Céline","non-dropping-particle":"","parse-names":false,"suffix":""},{"dropping-particle":"","family":"Bertail","given":"Patrice","non-dropping-particle":"","parse-names":false,"suffix":""},{"dropping-particle":"","family":"Combris","given":"Pierre","non-dropping-particle":"","parse-names":false,"suffix":""},{"dropping-particle":"","family":"Lahlou","given":"Saadi","non-dropping-particle":"","parse-names":false,"suffix":""},{"dropping-particle":"","family":"Rigal","given":"Natalie","non-dropping-particle":"","parse-names":false,"suffix":""},{"dropping-particle":"","family":"Ruffieux","given":"Bernard","non-dropping-particle":"","parse-names":false,"suffix":""},{"dropping-particle":"","family":"Chandon","given":"Pierre","non-dropping-particle":"","parse-names":false,"suffix":""}],"container-title":"Journal of the Academy of Marketing Science","id":"ITEM-1","issue":"1","issued":{"date-parts":[["2021"]]},"page":"119-138","publisher":"Journal of the Academy of Marketing Science","title":"Effects of front-of-pack labels on the nutritional quality of supermarket food purchases: evidence from a large-scale randomized controlled trial","type":"article-journal","volume":"49"},"uris":["http://www.mendeley.com/documents/?uuid=f546cded-a9b1-4d7d-bc61-5bca4379613b"]}],"mendeley":{"formattedCitation":"(Dubois et al. 2021)","plainTextFormattedCitation":"(Dubois et al. 2021)","previouslyFormattedCitation":"(Dubois et al. 2021)"},"properties":{"noteIndex":0},"schema":"https://github.com/citation-style-language/schema/raw/master/csl-citation.json"}</w:instrText>
      </w:r>
      <w:r w:rsidR="00200613">
        <w:rPr>
          <w:rFonts w:eastAsia="Times New Roman"/>
        </w:rPr>
        <w:fldChar w:fldCharType="separate"/>
      </w:r>
      <w:r w:rsidR="00200613" w:rsidRPr="00200613">
        <w:rPr>
          <w:rFonts w:eastAsia="Times New Roman"/>
          <w:noProof/>
        </w:rPr>
        <w:t>(Dubois et al. 2021)</w:t>
      </w:r>
      <w:r w:rsidR="00200613">
        <w:rPr>
          <w:rFonts w:eastAsia="Times New Roman"/>
        </w:rPr>
        <w:fldChar w:fldCharType="end"/>
      </w:r>
      <w:r w:rsidR="00200613">
        <w:rPr>
          <w:rFonts w:eastAsia="Times New Roman"/>
        </w:rPr>
        <w:t xml:space="preserve"> </w:t>
      </w:r>
      <w:r w:rsidR="00F809E4">
        <w:rPr>
          <w:rFonts w:eastAsia="Times New Roman"/>
        </w:rPr>
        <w:t xml:space="preserve">suggest a small effect. To our knowledge, only </w:t>
      </w:r>
      <w:r w:rsidR="00B56EF5">
        <w:rPr>
          <w:rFonts w:eastAsia="Times New Roman"/>
        </w:rPr>
        <w:t>three</w:t>
      </w:r>
      <w:r w:rsidR="00F809E4">
        <w:rPr>
          <w:rFonts w:eastAsia="Times New Roman"/>
        </w:rPr>
        <w:t xml:space="preserve"> stud</w:t>
      </w:r>
      <w:r w:rsidR="00B56EF5">
        <w:rPr>
          <w:rFonts w:eastAsia="Times New Roman"/>
        </w:rPr>
        <w:t>ies</w:t>
      </w:r>
      <w:r w:rsidR="00F809E4">
        <w:rPr>
          <w:rFonts w:eastAsia="Times New Roman"/>
        </w:rPr>
        <w:t xml:space="preserve"> ha</w:t>
      </w:r>
      <w:r w:rsidR="00B56EF5">
        <w:rPr>
          <w:rFonts w:eastAsia="Times New Roman"/>
        </w:rPr>
        <w:t>ve</w:t>
      </w:r>
      <w:r w:rsidR="00F809E4">
        <w:rPr>
          <w:rFonts w:eastAsia="Times New Roman"/>
        </w:rPr>
        <w:t xml:space="preserve"> examined the effect of FOP </w:t>
      </w:r>
      <w:r w:rsidR="00710ED1">
        <w:rPr>
          <w:rFonts w:eastAsia="Times New Roman"/>
        </w:rPr>
        <w:t>labeling</w:t>
      </w:r>
      <w:r w:rsidR="00F809E4">
        <w:rPr>
          <w:rFonts w:eastAsia="Times New Roman"/>
        </w:rPr>
        <w:t xml:space="preserve"> in an online grocer</w:t>
      </w:r>
      <w:r w:rsidR="00B56EF5">
        <w:rPr>
          <w:rFonts w:eastAsia="Times New Roman"/>
        </w:rPr>
        <w:t xml:space="preserve"> </w:t>
      </w:r>
      <w:r w:rsidR="00F809E4">
        <w:rPr>
          <w:rFonts w:eastAsia="Times New Roman"/>
        </w:rPr>
        <w:fldChar w:fldCharType="begin" w:fldLock="1"/>
      </w:r>
      <w:r w:rsidR="00A20060">
        <w:rPr>
          <w:rFonts w:eastAsia="Times New Roman"/>
        </w:rPr>
        <w:instrText>ADDIN CSL_CITATION {"citationItems":[{"id":"ITEM-1","itemData":{"DOI":"10.1111/j.1753-6405.2011.00684.x","ISSN":"13260200","PMID":"21463406","abstract":"Objective: 'Traffic-light' nutrition labelling has been proposed as a potential tool for improving the diet of the population, yet there has been little published research on the impact of traffic-light nutrition labelling on purchases in a supermarket environment. This study examined changes to online consumer food purchases in response to the introduction of traffic-light nutrition information (TLNI). Methods: The study consisted of a 10-week trial in a major Australian online grocery store. For the duration of the trial TLNI in the form of four colour-coded indicators representing the products' relative levels of fat, saturated fat, sugar and sodium content, was displayed on the product listing page of 53 of the retailer's own-brand products in five food categories (milk, bread, breakfast cereals, biscuits and frozen meals). The changes in sales before and after the introduction of TLNI were examined both within the intervention store and in a comparison store. Results: TLNI had no discernible impact on sales, with the change in sales in the intervention store corresponding to changes in sales in the comparison store. No relationship was observed between changes in sales and the relative healthiness of products. Conclusion and implications: This limited, short-term study found no evidence to support the notion that TLNI is likely to influence behaviour change. Further research is needed to examine the impact of providing TLNI in different contexts, for a longer duration and on more products, with and without complementary awareness and information campaigns. © 2010 Public Health Association of Australia.","author":[{"dropping-particle":"","family":"Sacks","given":"Gary","non-dropping-particle":"","parse-names":false,"suffix":""},{"dropping-particle":"","family":"Tikellis","given":"Kim","non-dropping-particle":"","parse-names":false,"suffix":""},{"dropping-particle":"","family":"Millar","given":"Lynne","non-dropping-particle":"","parse-names":false,"suffix":""},{"dropping-particle":"","family":"Swinburn","given":"Boyd","non-dropping-particle":"","parse-names":false,"suffix":""}],"container-title":"Australian and New Zealand Journal of Public Health","id":"ITEM-1","issue":"2","issued":{"date-parts":[["2011"]]},"page":"122-126","title":"Impact of 'Traffic-Light' Nutrition Information on Online Food Purchases in Australia","type":"article-journal","volume":"35"},"uris":["http://www.mendeley.com/documents/?uuid=e62b5c18-296c-4203-95fa-31e5da110cfa"]},{"id":"ITEM-2","itemData":{"DOI":"10.3390/nu12072158","ISSN":"20726643","PMID":"32698540","abstract":"The rising prevalence of non-communicable diseases has brought attention to the importance of consuming a healthy diet. One strategy to improve diet quality is through front-of-pack (FOP) nutrition labels. Taking advantage of an online grocery store, we allowed consumers to choose the FOP labels they preferred, and combined this information with real-time feedback on the overall nutritional quality of the shopping basket. We hypothesized that these dynamic food labels with real-time feedback (DFLF) would improve nutritional quality of food purchases. This trial followed a two-arm (no-label control and DFLF) crossover design with 125 participants exposed to each condition once in random order via an online grocery store. A first difference regression model allowed for estimating the unbiased effect of the DFLF on diet quality, measured by the weighted average Nutri-Score (ranging 1 to 5) per serving (primary) and changes in select nutrients and calories. The mean weighted Nutri-Score was 0.4 (12.6%) higher in the DFLF arm (CI: [0.2, 0.6]) relative to the control. The DFLF also decreased the amount of sugar per serving by 0.9 g (CI: [−1.7, −0.0]) and total sugar per shop by 169.5 g (CI: [−284.5, −54.5]). The DFLF features significantly improved nutrition quality relative to no labelling, as measured by average Nutri-Score values. These results shed light on the considerable potential of the online shopping environment to improve diet quality through customization and real time feedback.","author":[{"dropping-particle":"","family":"Shin","given":"Soye","non-dropping-particle":"","parse-names":false,"suffix":""},{"dropping-particle":"","family":"Dam","given":"Rob M.","non-dropping-particle":"van","parse-names":false,"suffix":""},{"dropping-particle":"","family":"Finkelstein","given":"Eric A.","non-dropping-particle":"","parse-names":false,"suffix":""}],"container-title":"Nutrients","id":"ITEM-2","issue":"7","issued":{"date-parts":[["2020"]]},"page":"1-16","title":"The effect of dynamic food labels with real-time feedback on diet quality: Results from a randomized controlled trial","type":"article-journal","volume":"12"},"uris":["http://www.mendeley.com/documents/?uuid=269c2ab3-a2cc-4815-9569-0e146a882857"]},{"id":"ITEM-3","itemData":{"DOI":"10.1186/s12889-020-8434-1","ISSN":"14712458","abstract":"Background: Several front-of-pack (FOP) labels identify healthier options by comparing foods within product categories. Alternative approaches label healthier options by comparing across categories. Which approach is superior remains unknown. The objective of this study was to test the effect of a within-category versus across-category FOP lower calorie label on 1) the percentage of labeled products purchased, 2) several measures of calories purchased (total, per dollar and per serving), and 3) total spending. We also tested the moderating effects of hunger and mood on purchasing patterns. Methods: Using an online grocery store, we conducted a 3 × 3 crossover trial involving actual purchases with 146 participants randomly exposed to: 1) no labeling control; 2) within-category lower calorie labels, and; 3) across-category lower calorie labels. We labeled the 20% of products with the lowest calories per serving within or across categories. Purchases were compared using a fixed effects regression on first-differenced outcomes. Results: Relative to the control condition, there was a 3 percentage point increase (p = 0.01) in labelled products purchased in the within-category arm and a non-significant decrease of 1 percentage point (p = 0.711) in the across-category arm. There was no significant difference in the proportion of labeled products purchased between the two labelling conditions. Neither strategy resulted in reductions in any measure of calories purchased or in total spending. When limited to beverages, there was a 398 cal reduction (p = 0.01) in the within-category arm and a 438 cal reduction (p &lt; 0.01) in the across-category arm versus the control. Mood and hunger did not modify the effects for either strategy. Conclusions: Results provide evidence that both labelling strategies have the potential to influence food purchasing patterns. However, we cannot definitely state that one labelling approach is superior or even that an increase in the proportion of labelled products purchased will lead to a reduction in calories purchased. Trial registration: The American Economic Association's registry for randomized controlled trials, RCT ID: AEARCTR-0002325; Prospectively Registered October 06, 2017. In compliance with ICMJE policy, the trial was also registered on Clinicaltrials.gov, RCT ID: [ NCT04165447[. Retrospectively Registered 11 November 2019.","author":[{"dropping-particle":"","family":"Finkelstein","given":"Eric Andrew","non-dropping-particle":"","parse-names":false,"suffix":""},{"dropping-particle":"","family":"Ang","given":"Felicia Jia Ler","non-dropping-particle":"","parse-names":false,"suffix":""},{"dropping-particle":"","family":"Doble","given":"Brett","non-dropping-particle":"","parse-names":false,"suffix":""}],"container-title":"BMC Public Health","id":"ITEM-3","issue":"312","issued":{"date-parts":[["2020"]]},"note":"Methods: Participants (n = 145) were consumers who had experience shopping online for groceries. SS shopped an online grocery store containing about 3200 food products that are common in Singapore. They shopped across 5 categories: beverages, dairy, snacks, meats, cereals/bakery/spreads. Participants were assigned to 1 of 3 conditions: no label control, low calorie label within category, low calorie across categories. Products with the lowest 20% of calories recieved labels. Participants shopped 1x week for three weeks, and were told one of their orders would actually be purchased using their credit card. SS saw all conditions (within subjects). The DVs were: proportion of the basket represented by low calroie products, calories purchased per dollar spent, total spending, cals per serving, and total calories purchased.\n\nResults:\n-- Proportion of basket: the proportion of labelled products purchased was a statistically significant 3 percentage points higher in the Within-category arm compared to Control. Across category and control did not differ from one another. \n-- The difference in proportion of basket purchased was highest in the beverage category versus the others. \n-- total calories / cals per dollar purchased was only affected by labels in the beverages category. Otherwise no differences emerged.","page":"1-10","publisher":"BMC Public Health","title":"Randomized trial evaluating the effectiveness of within versus across-category front-of-package lower-calorie labelling on food demand","type":"article-journal","volume":"20"},"uris":["http://www.mendeley.com/documents/?uuid=97ac7926-06e7-4ff3-b625-8e4318ed2272"]}],"mendeley":{"formattedCitation":"(Finkelstein, Ang, and Doble 2020; Sacks et al. 2011; Shin, van Dam, and Finkelstein 2020)","plainTextFormattedCitation":"(Finkelstein, Ang, and Doble 2020; Sacks et al. 2011; Shin, van Dam, and Finkelstein 2020)","previouslyFormattedCitation":"(Finkelstein, Ang, and Doble 2020; Sacks et al. 2011; Shin, van Dam, and Finkelstein 2020)"},"properties":{"noteIndex":0},"schema":"https://github.com/citation-style-language/schema/raw/master/csl-citation.json"}</w:instrText>
      </w:r>
      <w:r w:rsidR="00F809E4">
        <w:rPr>
          <w:rFonts w:eastAsia="Times New Roman"/>
        </w:rPr>
        <w:fldChar w:fldCharType="separate"/>
      </w:r>
      <w:r w:rsidR="000630D1" w:rsidRPr="000630D1">
        <w:rPr>
          <w:rFonts w:eastAsia="Times New Roman"/>
          <w:noProof/>
        </w:rPr>
        <w:t>(Finkelstein, Ang, and Doble 2020; Sacks et al. 2011; Shin, van Dam, and Finkelstein 2020)</w:t>
      </w:r>
      <w:r w:rsidR="00F809E4">
        <w:rPr>
          <w:rFonts w:eastAsia="Times New Roman"/>
        </w:rPr>
        <w:fldChar w:fldCharType="end"/>
      </w:r>
      <w:r w:rsidR="00F809E4">
        <w:rPr>
          <w:rFonts w:eastAsia="Times New Roman"/>
        </w:rPr>
        <w:t xml:space="preserve">. </w:t>
      </w:r>
      <w:r w:rsidR="00B56EF5">
        <w:rPr>
          <w:rFonts w:eastAsia="Times New Roman"/>
        </w:rPr>
        <w:t xml:space="preserve">Two of these studies found null effects, and one found an effect when FOP labels were combined with cart feedback </w:t>
      </w:r>
      <w:r w:rsidR="00B56EF5">
        <w:rPr>
          <w:rFonts w:eastAsia="Times New Roman"/>
        </w:rPr>
        <w:fldChar w:fldCharType="begin" w:fldLock="1"/>
      </w:r>
      <w:r w:rsidR="000630D1">
        <w:rPr>
          <w:rFonts w:eastAsia="Times New Roman"/>
        </w:rPr>
        <w:instrText>ADDIN CSL_CITATION {"citationItems":[{"id":"ITEM-1","itemData":{"DOI":"10.3390/nu12072158","ISSN":"20726643","PMID":"32698540","abstract":"The rising prevalence of non-communicable diseases has brought attention to the importance of consuming a healthy diet. One strategy to improve diet quality is through front-of-pack (FOP) nutrition labels. Taking advantage of an online grocery store, we allowed consumers to choose the FOP labels they preferred, and combined this information with real-time feedback on the overall nutritional quality of the shopping basket. We hypothesized that these dynamic food labels with real-time feedback (DFLF) would improve nutritional quality of food purchases. This trial followed a two-arm (no-label control and DFLF) crossover design with 125 participants exposed to each condition once in random order via an online grocery store. A first difference regression model allowed for estimating the unbiased effect of the DFLF on diet quality, measured by the weighted average Nutri-Score (ranging 1 to 5) per serving (primary) and changes in select nutrients and calories. The mean weighted Nutri-Score was 0.4 (12.6%) higher in the DFLF arm (CI: [0.2, 0.6]) relative to the control. The DFLF also decreased the amount of sugar per serving by 0.9 g (CI: [−1.7, −0.0]) and total sugar per shop by 169.5 g (CI: [−284.5, −54.5]). The DFLF features significantly improved nutrition quality relative to no labelling, as measured by average Nutri-Score values. These results shed light on the considerable potential of the online shopping environment to improve diet quality through customization and real time feedback.","author":[{"dropping-particle":"","family":"Shin","given":"Soye","non-dropping-particle":"","parse-names":false,"suffix":""},{"dropping-particle":"","family":"Dam","given":"Rob M.","non-dropping-particle":"van","parse-names":false,"suffix":""},{"dropping-particle":"","family":"Finkelstein","given":"Eric A.","non-dropping-particle":"","parse-names":false,"suffix":""}],"container-title":"Nutrients","id":"ITEM-1","issue":"7","issued":{"date-parts":[["2020"]]},"page":"1-16","title":"The effect of dynamic food labels with real-time feedback on diet quality: Results from a randomized controlled trial","type":"article-journal","volume":"12"},"uris":["http://www.mendeley.com/documents/?uuid=269c2ab3-a2cc-4815-9569-0e146a882857"]}],"mendeley":{"formattedCitation":"(Shin et al. 2020)","plainTextFormattedCitation":"(Shin et al. 2020)","previouslyFormattedCitation":"(Shin et al. 2020)"},"properties":{"noteIndex":0},"schema":"https://github.com/citation-style-language/schema/raw/master/csl-citation.json"}</w:instrText>
      </w:r>
      <w:r w:rsidR="00B56EF5">
        <w:rPr>
          <w:rFonts w:eastAsia="Times New Roman"/>
        </w:rPr>
        <w:fldChar w:fldCharType="separate"/>
      </w:r>
      <w:r w:rsidR="000630D1" w:rsidRPr="000630D1">
        <w:rPr>
          <w:rFonts w:eastAsia="Times New Roman"/>
          <w:noProof/>
        </w:rPr>
        <w:t>(Shin et al. 2020)</w:t>
      </w:r>
      <w:r w:rsidR="00B56EF5">
        <w:rPr>
          <w:rFonts w:eastAsia="Times New Roman"/>
        </w:rPr>
        <w:fldChar w:fldCharType="end"/>
      </w:r>
      <w:r w:rsidR="00B56EF5">
        <w:rPr>
          <w:rFonts w:eastAsia="Times New Roman"/>
        </w:rPr>
        <w:t xml:space="preserve">. </w:t>
      </w:r>
    </w:p>
    <w:p w14:paraId="30A3391D" w14:textId="073DED79" w:rsidR="00FB2265" w:rsidRDefault="00D87BE9" w:rsidP="00B56EF5">
      <w:pPr>
        <w:spacing w:line="480" w:lineRule="auto"/>
        <w:ind w:firstLine="720"/>
        <w:rPr>
          <w:rFonts w:eastAsia="Times New Roman"/>
          <w:b/>
          <w:bCs/>
        </w:rPr>
      </w:pPr>
      <w:r>
        <w:rPr>
          <w:rFonts w:eastAsia="Times New Roman"/>
        </w:rPr>
        <w:t xml:space="preserve">The effects of FOP labels also differ depending on the label format, with healthy stars (i.e., the intervention used in Study 1) not having a significant effect on nutrient content of foods purchased and consumed </w:t>
      </w:r>
      <w:r>
        <w:rPr>
          <w:rFonts w:eastAsia="Times New Roman"/>
        </w:rPr>
        <w:fldChar w:fldCharType="begin" w:fldLock="1"/>
      </w:r>
      <w:r w:rsidR="000630D1">
        <w:rPr>
          <w:rFonts w:eastAsia="Times New Roman"/>
        </w:rPr>
        <w:instrText>ADDIN CSL_CITATION {"citationItems":[{"id":"ITEM-1","itemData":{"DOI":"10.1111/jhn.12758","ISSN":"1365277X","PMID":"32364292","abstract":"Background: Front of pack labelling (FOPL) provides visible nutritional information and appears to influence knowledge and reformulation. However, a recent Cochrane review found limited and inconsistent evidence for behaviour change. The present review aimed to examine studies published subsequent the Cochrane review, focusing on prepackaged foods, examining the impact of FOPL on purchasing and consumption. Methods: Controlled experimental/intervention and interrupted time series (ITS) studies were included, with no age/geography restrictions. Exposures were FOPL with objectively measured consumption/purchasing outcomes. Thirteen databases were searched (January 2017 to April 2019) and forward citation searching was undertaken on the included studies. Purchasing data from experimental studies were meta-analysed. Two series of meta-analyses were undertaken; combined FOPL versus no-FOPL and specific FOPL scheme versus no-FOPL. Outcomes were sugar (g 100 g−1), calories (kcal 100 g−1), saturated fat (g 100 g−1) and sodium (mg 100 g−1). Results: We identified 14 studies, reporting consumption (experimental; n = 3) and purchasing (n = 8, experimental; n = 3, ITS). Meta-analysis of experimental studies showed sugar and sodium content of purchases was lower for combined FOPL versus no-FOPL (−0.40 g sugar 100 g−1, P &lt; 0.01; −24.482 mg sodium 100 g−1, P = 0.012), with a trend for lower energy and saturated fat (−2.03 kcal 100 g−1, P = 0.08; −0.154 g saturated fat 100 g−1, P = 0.091). For specific FOPL, products purchased by ‘high in’ FOPL groups had lower sugar (−0.67 g sugar 100 g−1, P ≤ 0.01), calories (−4.43 kcal 100 g−1, P &lt; 0.05), sodium (−33.78 mg 100 g−1, P = 0.01) versus no-FOPL; Multiple Traffic Light had lower sodium (−34.94 mg 100 g−1, P &lt; 0.01) versus no-FOPL. Findings regarding consumption were limited and inconsistent. FOPL resulted in healthier purchasing in ITS studies. Conclusions: This review provides evidence from experimental and ‘real-life’ studies indicating that FOPL encourages healthier food purchasing. PROSPERO CRD42019135743.","author":[{"dropping-particle":"","family":"Croker","given":"H.","non-dropping-particle":"","parse-names":false,"suffix":""},{"dropping-particle":"","family":"Packer","given":"J.","non-dropping-particle":"","parse-names":false,"suffix":""},{"dropping-particle":"","family":"Russell","given":"Simon J.","non-dropping-particle":"","parse-names":false,"suffix":""},{"dropping-particle":"","family":"Stansfield","given":"C.","non-dropping-particle":"","parse-names":false,"suffix":""},{"dropping-particle":"","family":"Viner","given":"R. M.","non-dropping-particle":"","parse-names":false,"suffix":""}],"container-title":"Journal of Human Nutrition and Dietetics","id":"ITEM-1","issue":"4","issued":{"date-parts":[["2020"]]},"note":"Methods: A meta analysis of studies conducted since 2017 that intervene on FOP labels and have an objectively measured outcome variable (consumption, purchasing behaviour)\n\n\n\nNeal et al\nNi Mhurchu et al\nCrosetto et al","page":"518-537","title":"Front of pack nutritional labelling schemes: a systematic review and meta-analysis of recent evidence relating to objectively measured consumption and purchasing","type":"article-journal","volume":"33"},"uris":["http://www.mendeley.com/documents/?uuid=9e406fd3-bf7a-4e37-9d5f-5aecd2d13f91"]}],"mendeley":{"formattedCitation":"(Croker et al. 2020)","plainTextFormattedCitation":"(Croker et al. 2020)","previouslyFormattedCitation":"(Croker et al. 2020)"},"properties":{"noteIndex":0},"schema":"https://github.com/citation-style-language/schema/raw/master/csl-citation.json"}</w:instrText>
      </w:r>
      <w:r>
        <w:rPr>
          <w:rFonts w:eastAsia="Times New Roman"/>
        </w:rPr>
        <w:fldChar w:fldCharType="separate"/>
      </w:r>
      <w:r w:rsidR="000630D1" w:rsidRPr="000630D1">
        <w:rPr>
          <w:rFonts w:eastAsia="Times New Roman"/>
          <w:noProof/>
        </w:rPr>
        <w:t>(Croker et al. 2020)</w:t>
      </w:r>
      <w:r>
        <w:rPr>
          <w:rFonts w:eastAsia="Times New Roman"/>
        </w:rPr>
        <w:fldChar w:fldCharType="end"/>
      </w:r>
      <w:r w:rsidR="00F809E4">
        <w:rPr>
          <w:rFonts w:eastAsia="Times New Roman"/>
        </w:rPr>
        <w:t xml:space="preserve">. </w:t>
      </w:r>
      <w:r w:rsidR="00501488">
        <w:rPr>
          <w:rFonts w:eastAsia="Times New Roman"/>
        </w:rPr>
        <w:t xml:space="preserve">In this study, we sought to replicate the findings of existing field studies on FOP health labels. We expected to find a small or null effect of health labels in the OSOG. </w:t>
      </w:r>
    </w:p>
    <w:p w14:paraId="2E334116" w14:textId="3912A2F9" w:rsidR="00501488" w:rsidRPr="001957E2" w:rsidRDefault="00501488" w:rsidP="00501488">
      <w:pPr>
        <w:spacing w:line="480" w:lineRule="auto"/>
        <w:rPr>
          <w:b/>
          <w:bCs/>
          <w:i/>
          <w:iCs/>
        </w:rPr>
      </w:pPr>
      <w:r w:rsidRPr="001957E2">
        <w:rPr>
          <w:b/>
          <w:bCs/>
          <w:i/>
          <w:iCs/>
        </w:rPr>
        <w:t>Methods</w:t>
      </w:r>
    </w:p>
    <w:p w14:paraId="7F54C454" w14:textId="77777777" w:rsidR="00501488" w:rsidRDefault="00501488" w:rsidP="00501488">
      <w:pPr>
        <w:spacing w:line="480" w:lineRule="auto"/>
        <w:ind w:firstLine="720"/>
      </w:pPr>
      <w:r>
        <w:t>We recruited 394 participants from Prolific (187 men, 202 women, 5 non-</w:t>
      </w:r>
      <w:proofErr w:type="gramStart"/>
      <w:r>
        <w:t>binary</w:t>
      </w:r>
      <w:proofErr w:type="gramEnd"/>
      <w:r>
        <w:t xml:space="preserve">; </w:t>
      </w:r>
      <w:r w:rsidRPr="00CD1D34">
        <w:rPr>
          <w:i/>
          <w:iCs/>
        </w:rPr>
        <w:t>M</w:t>
      </w:r>
      <w:r w:rsidRPr="00CD1D34">
        <w:rPr>
          <w:i/>
          <w:iCs/>
          <w:vertAlign w:val="subscript"/>
        </w:rPr>
        <w:t>age</w:t>
      </w:r>
      <w:r>
        <w:t xml:space="preserve"> = 32.56, </w:t>
      </w:r>
      <w:r w:rsidRPr="00CD1D34">
        <w:rPr>
          <w:i/>
          <w:iCs/>
        </w:rPr>
        <w:t>SD</w:t>
      </w:r>
      <w:r>
        <w:t xml:space="preserve"> = 11.00; 252 White, 41Black, 45 Asian, 7 Southeast Asian, 24 Hispanic or Latinx, 2 Indigenous, 2 Pacific Islander, 19 bi- or multiracial, 2 other; </w:t>
      </w:r>
      <w:r w:rsidRPr="00CD1D34">
        <w:rPr>
          <w:i/>
          <w:iCs/>
        </w:rPr>
        <w:t>M</w:t>
      </w:r>
      <w:r>
        <w:rPr>
          <w:i/>
          <w:iCs/>
          <w:vertAlign w:val="subscript"/>
        </w:rPr>
        <w:t>BMI</w:t>
      </w:r>
      <w:r>
        <w:t xml:space="preserve"> = 26.01, </w:t>
      </w:r>
      <w:r w:rsidRPr="00CD1D34">
        <w:rPr>
          <w:i/>
          <w:iCs/>
        </w:rPr>
        <w:t>SD</w:t>
      </w:r>
      <w:r>
        <w:t xml:space="preserve"> = 7.94).</w:t>
      </w:r>
    </w:p>
    <w:p w14:paraId="71FCB476" w14:textId="59FC1A19" w:rsidR="00501488" w:rsidRDefault="00501488" w:rsidP="00501488">
      <w:pPr>
        <w:spacing w:line="480" w:lineRule="auto"/>
        <w:ind w:firstLine="720"/>
      </w:pPr>
      <w:r>
        <w:t xml:space="preserve">Participants were asked to use the Open Science Online Grocery to shop for groceries for the upcoming week. They were asked to buy what they would usually purchase in a normal shopping trip and to shop for other members of their household if that was something they would </w:t>
      </w:r>
      <w:r>
        <w:lastRenderedPageBreak/>
        <w:t>normally do. To improve ecological validity, all participants were informed that two participants would win the content</w:t>
      </w:r>
      <w:r w:rsidR="004C0094">
        <w:t>s</w:t>
      </w:r>
      <w:r>
        <w:t xml:space="preserve"> of their grocery cart.  We could not logistically send the actual contents of grocery carts to the winning participants, but we did provide these participants with a monetary bonus in the amount of their cart total (a fact that all participants were informed of in an end-of-study debriefing).</w:t>
      </w:r>
    </w:p>
    <w:p w14:paraId="06A40D14" w14:textId="6B4FF69B" w:rsidR="00501488" w:rsidRDefault="00501488" w:rsidP="00501488">
      <w:pPr>
        <w:spacing w:line="480" w:lineRule="auto"/>
      </w:pPr>
      <w:r>
        <w:tab/>
        <w:t xml:space="preserve">Participants were randomly assigned to one of two versions of the Open Science Online Grocery. In the control condition, grocery items were unlabeled. In the experimental condition, some grocery items were </w:t>
      </w:r>
      <w:r w:rsidR="00710ED1">
        <w:t>labeled</w:t>
      </w:r>
      <w:r>
        <w:t xml:space="preserve"> using the “Healthy Stars” algorithm which rates a food’s nutritional value from 0 to 3 stars. The star point algorithm mimics the Guiding Stars algorithm that is used to label nutritious foods in Canadian grocery stores</w:t>
      </w:r>
      <w:r w:rsidR="001957E2">
        <w:t xml:space="preserve"> </w:t>
      </w:r>
      <w:r w:rsidR="001957E2">
        <w:fldChar w:fldCharType="begin" w:fldLock="1"/>
      </w:r>
      <w:r w:rsidR="000630D1">
        <w:instrText>ADDIN CSL_CITATION {"citationItems":[{"id":"ITEM-1","itemData":{"author":[{"dropping-particle":"","family":"Guiding Stars Licensing Company","given":"","non-dropping-particle":"","parse-names":false,"suffix":""}],"id":"ITEM-1","issued":{"date-parts":[["2012"]]},"number":"2652379","number-of-pages":"1-5","publisher-place":"Canada","title":"Understanding the Science behind the Guiding Stars® Algorithm for Canada","type":"report"},"uris":["http://www.mendeley.com/documents/?uuid=7b8bb190-3d4f-4bb7-85c9-4f6c96322775"]}],"mendeley":{"formattedCitation":"(Guiding Stars Licensing Company 2012)","plainTextFormattedCitation":"(Guiding Stars Licensing Company 2012)","previouslyFormattedCitation":"(Guiding Stars Licensing Company 2012)"},"properties":{"noteIndex":0},"schema":"https://github.com/citation-style-language/schema/raw/master/csl-citation.json"}</w:instrText>
      </w:r>
      <w:r w:rsidR="001957E2">
        <w:fldChar w:fldCharType="separate"/>
      </w:r>
      <w:r w:rsidR="000630D1" w:rsidRPr="000630D1">
        <w:rPr>
          <w:noProof/>
        </w:rPr>
        <w:t>(Guiding Stars Licensing Company 2012)</w:t>
      </w:r>
      <w:r w:rsidR="001957E2">
        <w:fldChar w:fldCharType="end"/>
      </w:r>
      <w:r>
        <w:t xml:space="preserve">. </w:t>
      </w:r>
      <w:r w:rsidRPr="004049C0">
        <w:t>The details of the algorithm can be found in the web appendix.</w:t>
      </w:r>
      <w:r>
        <w:t xml:space="preserve"> Across both conditions, participants saw grocery items presented in the same order and were prompted to spend $35 before being able to check out. </w:t>
      </w:r>
    </w:p>
    <w:p w14:paraId="4D2B98A0" w14:textId="7282A7E2" w:rsidR="00501488" w:rsidRDefault="00501488" w:rsidP="00501488">
      <w:pPr>
        <w:spacing w:line="480" w:lineRule="auto"/>
      </w:pPr>
      <w:r>
        <w:tab/>
        <w:t>After completing their hypothetical shopping, participants were asked how many people they imagined shopping for, how much money they spend on groceries in a typical week, and how similar the groceries they “purchased” in the experiment were to their typical purchases from 1 (</w:t>
      </w:r>
      <w:r w:rsidRPr="0019692F">
        <w:rPr>
          <w:i/>
          <w:iCs/>
        </w:rPr>
        <w:t>not at all similar</w:t>
      </w:r>
      <w:r>
        <w:t>) to 7 (</w:t>
      </w:r>
      <w:r w:rsidRPr="0019692F">
        <w:rPr>
          <w:i/>
          <w:iCs/>
        </w:rPr>
        <w:t>very similar</w:t>
      </w:r>
      <w:r>
        <w:t>). Then, all participants completed demographic questions and were debriefed regarding the true nature of the bonus.</w:t>
      </w:r>
    </w:p>
    <w:p w14:paraId="1C8B04A0" w14:textId="77777777" w:rsidR="00501488" w:rsidRPr="00E226B0" w:rsidRDefault="00501488" w:rsidP="00501488">
      <w:pPr>
        <w:spacing w:line="480" w:lineRule="auto"/>
        <w:rPr>
          <w:b/>
          <w:bCs/>
          <w:i/>
          <w:iCs/>
        </w:rPr>
      </w:pPr>
      <w:r w:rsidRPr="00E226B0">
        <w:rPr>
          <w:b/>
          <w:bCs/>
          <w:i/>
          <w:iCs/>
        </w:rPr>
        <w:t>Results</w:t>
      </w:r>
    </w:p>
    <w:p w14:paraId="1C3D2114" w14:textId="65A01657" w:rsidR="00501488" w:rsidRDefault="00501488" w:rsidP="00501488">
      <w:pPr>
        <w:spacing w:line="480" w:lineRule="auto"/>
      </w:pPr>
      <w:r>
        <w:rPr>
          <w:b/>
          <w:bCs/>
        </w:rPr>
        <w:tab/>
      </w:r>
      <w:r w:rsidRPr="00452AC7">
        <w:rPr>
          <w:b/>
          <w:bCs/>
        </w:rPr>
        <w:t>Shopper Profile</w:t>
      </w:r>
      <w:r>
        <w:rPr>
          <w:b/>
          <w:bCs/>
        </w:rPr>
        <w:t xml:space="preserve">. </w:t>
      </w:r>
      <w:proofErr w:type="gramStart"/>
      <w:r>
        <w:t>The majority of</w:t>
      </w:r>
      <w:proofErr w:type="gramEnd"/>
      <w:r>
        <w:t xml:space="preserve"> participants imagined shopping for themselves (27.2%) or themselves and another person (28.9%). On average, participants reported purchasing similar items to their typical grocery shopping trip (</w:t>
      </w:r>
      <w:r w:rsidRPr="00F66DA2">
        <w:rPr>
          <w:i/>
          <w:iCs/>
        </w:rPr>
        <w:t>M</w:t>
      </w:r>
      <w:r>
        <w:t xml:space="preserve"> = 5.92/7.00, </w:t>
      </w:r>
      <w:r w:rsidRPr="00F66DA2">
        <w:rPr>
          <w:i/>
          <w:iCs/>
        </w:rPr>
        <w:t>SD</w:t>
      </w:r>
      <w:r>
        <w:t xml:space="preserve"> = 1.10); purchase typicality did not differ across conditions, </w:t>
      </w:r>
      <w:proofErr w:type="gramStart"/>
      <w:r w:rsidRPr="00F66DA2">
        <w:rPr>
          <w:i/>
          <w:iCs/>
        </w:rPr>
        <w:t>t</w:t>
      </w:r>
      <w:r>
        <w:t>(</w:t>
      </w:r>
      <w:proofErr w:type="gramEnd"/>
      <w:r>
        <w:t xml:space="preserve">392) = .35, </w:t>
      </w:r>
      <w:r w:rsidRPr="00F66DA2">
        <w:rPr>
          <w:i/>
          <w:iCs/>
        </w:rPr>
        <w:t>p</w:t>
      </w:r>
      <w:r>
        <w:t xml:space="preserve"> = .73.  </w:t>
      </w:r>
    </w:p>
    <w:p w14:paraId="702AC385" w14:textId="442F06F8" w:rsidR="00501488" w:rsidRPr="005F4364" w:rsidRDefault="00501488" w:rsidP="00501488">
      <w:pPr>
        <w:spacing w:line="480" w:lineRule="auto"/>
        <w:rPr>
          <w:b/>
          <w:bCs/>
          <w:i/>
          <w:iCs/>
        </w:rPr>
      </w:pPr>
      <w:r w:rsidRPr="005F4364">
        <w:rPr>
          <w:b/>
          <w:bCs/>
          <w:i/>
          <w:iCs/>
        </w:rPr>
        <w:lastRenderedPageBreak/>
        <w:tab/>
      </w:r>
      <w:r w:rsidRPr="00452AC7">
        <w:rPr>
          <w:b/>
          <w:bCs/>
        </w:rPr>
        <w:t>Primary Results</w:t>
      </w:r>
      <w:r>
        <w:rPr>
          <w:b/>
          <w:bCs/>
          <w:i/>
          <w:iCs/>
        </w:rPr>
        <w:t>.</w:t>
      </w:r>
      <w:r>
        <w:t xml:space="preserve"> We did not observe any significant differences in any of the measured health variables across conditions. Full results can be found in </w:t>
      </w:r>
      <w:r w:rsidRPr="00E226B0">
        <w:t xml:space="preserve">Table </w:t>
      </w:r>
      <w:r w:rsidR="00200613">
        <w:t>3</w:t>
      </w:r>
      <w:r w:rsidRPr="00E226B0">
        <w:t>.</w:t>
      </w:r>
      <w:r>
        <w:t xml:space="preserve"> </w:t>
      </w:r>
    </w:p>
    <w:p w14:paraId="63D9DB58" w14:textId="77777777" w:rsidR="007C1620" w:rsidRDefault="007C1620" w:rsidP="007C1620">
      <w:pPr>
        <w:spacing w:line="480" w:lineRule="auto"/>
        <w:rPr>
          <w:b/>
          <w:bCs/>
          <w:i/>
          <w:iCs/>
        </w:rPr>
      </w:pPr>
    </w:p>
    <w:p w14:paraId="100804CC" w14:textId="37C09EBA" w:rsidR="007C1620" w:rsidRDefault="00436A78" w:rsidP="00E226B0">
      <w:pPr>
        <w:spacing w:line="480" w:lineRule="auto"/>
        <w:rPr>
          <w:b/>
          <w:bCs/>
        </w:rPr>
      </w:pPr>
      <w:r w:rsidRPr="00E226B0">
        <w:rPr>
          <w:b/>
          <w:bCs/>
          <w:i/>
          <w:iCs/>
        </w:rPr>
        <w:t>Discussion</w:t>
      </w:r>
      <w:r>
        <w:rPr>
          <w:b/>
          <w:bCs/>
        </w:rPr>
        <w:t xml:space="preserve"> </w:t>
      </w:r>
    </w:p>
    <w:p w14:paraId="56B7A959" w14:textId="226C97E8" w:rsidR="00436A78" w:rsidRPr="00E226B0" w:rsidRDefault="00436A78" w:rsidP="00E226B0">
      <w:pPr>
        <w:spacing w:line="480" w:lineRule="auto"/>
        <w:ind w:firstLine="720"/>
      </w:pPr>
      <w:r>
        <w:t xml:space="preserve">In this study, we demonstrated that there was no effect of a healthy </w:t>
      </w:r>
      <w:proofErr w:type="gramStart"/>
      <w:r>
        <w:t>stars</w:t>
      </w:r>
      <w:proofErr w:type="gramEnd"/>
      <w:r>
        <w:t xml:space="preserve"> FOP </w:t>
      </w:r>
      <w:r w:rsidR="00710ED1">
        <w:t>labeling</w:t>
      </w:r>
      <w:r>
        <w:t xml:space="preserve"> system on the healthiness of purchased items in OSOG. This finding replicates Crocker et al., (2020)’s study of star FOP labels in an online grocery setting</w:t>
      </w:r>
      <w:r w:rsidR="00CB09F0">
        <w:t xml:space="preserve"> and accords with</w:t>
      </w:r>
      <w:r>
        <w:t xml:space="preserve"> a large body of literature finding small or null effects of FOP labels on food choice. </w:t>
      </w:r>
      <w:r w:rsidR="007C1620">
        <w:t xml:space="preserve">In the next study, we sought to replicate another choice </w:t>
      </w:r>
      <w:r w:rsidR="00E47093">
        <w:t xml:space="preserve">context </w:t>
      </w:r>
      <w:r w:rsidR="007C1620">
        <w:t xml:space="preserve">intervention that is backed by a large body of literature: page sorting. </w:t>
      </w:r>
    </w:p>
    <w:tbl>
      <w:tblPr>
        <w:tblStyle w:val="TableGrid"/>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3"/>
        <w:gridCol w:w="987"/>
        <w:gridCol w:w="990"/>
        <w:gridCol w:w="720"/>
        <w:gridCol w:w="990"/>
        <w:gridCol w:w="990"/>
        <w:gridCol w:w="900"/>
        <w:gridCol w:w="900"/>
        <w:gridCol w:w="990"/>
        <w:gridCol w:w="810"/>
      </w:tblGrid>
      <w:tr w:rsidR="00B830CA" w:rsidRPr="00DC1C30" w14:paraId="4259F719" w14:textId="77777777" w:rsidTr="001611C8">
        <w:tc>
          <w:tcPr>
            <w:tcW w:w="9900" w:type="dxa"/>
            <w:gridSpan w:val="10"/>
          </w:tcPr>
          <w:p w14:paraId="2B9D0873" w14:textId="77777777" w:rsidR="00B830CA" w:rsidRPr="00DC1C30" w:rsidRDefault="00B830CA" w:rsidP="00673D03">
            <w:pPr>
              <w:rPr>
                <w:sz w:val="22"/>
                <w:szCs w:val="22"/>
              </w:rPr>
            </w:pPr>
            <w:r w:rsidRPr="00345619">
              <w:rPr>
                <w:b/>
                <w:bCs/>
                <w:sz w:val="22"/>
                <w:szCs w:val="22"/>
              </w:rPr>
              <w:t>Table 3.</w:t>
            </w:r>
            <w:r w:rsidRPr="00DC1C30">
              <w:rPr>
                <w:sz w:val="22"/>
                <w:szCs w:val="22"/>
              </w:rPr>
              <w:t xml:space="preserve"> The effect of three interventions on cart price, number of items in cart, and item healthiness </w:t>
            </w:r>
          </w:p>
        </w:tc>
      </w:tr>
      <w:tr w:rsidR="00B830CA" w:rsidRPr="00DC1C30" w14:paraId="458F0B6B" w14:textId="77777777" w:rsidTr="001611C8">
        <w:tc>
          <w:tcPr>
            <w:tcW w:w="1623" w:type="dxa"/>
            <w:tcBorders>
              <w:top w:val="single" w:sz="4" w:space="0" w:color="auto"/>
            </w:tcBorders>
          </w:tcPr>
          <w:p w14:paraId="10695353" w14:textId="77777777" w:rsidR="00B830CA" w:rsidRPr="00DC1C30" w:rsidRDefault="00B830CA" w:rsidP="00673D03">
            <w:pPr>
              <w:rPr>
                <w:sz w:val="22"/>
                <w:szCs w:val="22"/>
              </w:rPr>
            </w:pPr>
          </w:p>
        </w:tc>
        <w:tc>
          <w:tcPr>
            <w:tcW w:w="2697" w:type="dxa"/>
            <w:gridSpan w:val="3"/>
            <w:tcBorders>
              <w:top w:val="single" w:sz="4" w:space="0" w:color="auto"/>
            </w:tcBorders>
          </w:tcPr>
          <w:p w14:paraId="33AE5771" w14:textId="6161A52F" w:rsidR="00B830CA" w:rsidRPr="00DC1C30" w:rsidRDefault="001611C8" w:rsidP="00673D03">
            <w:pPr>
              <w:jc w:val="center"/>
              <w:rPr>
                <w:sz w:val="22"/>
                <w:szCs w:val="22"/>
              </w:rPr>
            </w:pPr>
            <w:r>
              <w:rPr>
                <w:sz w:val="22"/>
                <w:szCs w:val="22"/>
              </w:rPr>
              <w:t>Illustration I</w:t>
            </w:r>
            <w:r w:rsidR="00B830CA" w:rsidRPr="00DC1C30">
              <w:rPr>
                <w:sz w:val="22"/>
                <w:szCs w:val="22"/>
              </w:rPr>
              <w:t>: The effect of FOP Labels</w:t>
            </w:r>
          </w:p>
        </w:tc>
        <w:tc>
          <w:tcPr>
            <w:tcW w:w="2880" w:type="dxa"/>
            <w:gridSpan w:val="3"/>
            <w:tcBorders>
              <w:top w:val="single" w:sz="4" w:space="0" w:color="auto"/>
            </w:tcBorders>
          </w:tcPr>
          <w:p w14:paraId="425D5E0C" w14:textId="7C7B9DB2" w:rsidR="00B830CA" w:rsidRPr="00DC1C30" w:rsidRDefault="001611C8" w:rsidP="00673D03">
            <w:pPr>
              <w:jc w:val="center"/>
              <w:rPr>
                <w:sz w:val="22"/>
                <w:szCs w:val="22"/>
              </w:rPr>
            </w:pPr>
            <w:r>
              <w:rPr>
                <w:sz w:val="22"/>
                <w:szCs w:val="22"/>
              </w:rPr>
              <w:t>Illustration I</w:t>
            </w:r>
            <w:r>
              <w:rPr>
                <w:sz w:val="22"/>
                <w:szCs w:val="22"/>
              </w:rPr>
              <w:t>I</w:t>
            </w:r>
            <w:r w:rsidR="00B830CA" w:rsidRPr="00DC1C30">
              <w:rPr>
                <w:sz w:val="22"/>
                <w:szCs w:val="22"/>
              </w:rPr>
              <w:t xml:space="preserve">: The </w:t>
            </w:r>
            <w:r>
              <w:rPr>
                <w:sz w:val="22"/>
                <w:szCs w:val="22"/>
              </w:rPr>
              <w:t>E</w:t>
            </w:r>
            <w:r w:rsidR="00B830CA" w:rsidRPr="00DC1C30">
              <w:rPr>
                <w:sz w:val="22"/>
                <w:szCs w:val="22"/>
              </w:rPr>
              <w:t xml:space="preserve">ffect of </w:t>
            </w:r>
            <w:r>
              <w:rPr>
                <w:sz w:val="22"/>
                <w:szCs w:val="22"/>
              </w:rPr>
              <w:t>P</w:t>
            </w:r>
            <w:r w:rsidR="00B830CA" w:rsidRPr="00DC1C30">
              <w:rPr>
                <w:sz w:val="22"/>
                <w:szCs w:val="22"/>
              </w:rPr>
              <w:t xml:space="preserve">age </w:t>
            </w:r>
            <w:r>
              <w:rPr>
                <w:sz w:val="22"/>
                <w:szCs w:val="22"/>
              </w:rPr>
              <w:t>Sorting</w:t>
            </w:r>
          </w:p>
        </w:tc>
        <w:tc>
          <w:tcPr>
            <w:tcW w:w="2700" w:type="dxa"/>
            <w:gridSpan w:val="3"/>
            <w:tcBorders>
              <w:top w:val="single" w:sz="4" w:space="0" w:color="auto"/>
            </w:tcBorders>
          </w:tcPr>
          <w:p w14:paraId="12EDBD97" w14:textId="2E6BE917" w:rsidR="00B830CA" w:rsidRPr="00DC1C30" w:rsidRDefault="001611C8" w:rsidP="00673D03">
            <w:pPr>
              <w:jc w:val="center"/>
              <w:rPr>
                <w:sz w:val="22"/>
                <w:szCs w:val="22"/>
              </w:rPr>
            </w:pPr>
            <w:r>
              <w:rPr>
                <w:sz w:val="22"/>
                <w:szCs w:val="22"/>
              </w:rPr>
              <w:t>Illustration I</w:t>
            </w:r>
            <w:r>
              <w:rPr>
                <w:sz w:val="22"/>
                <w:szCs w:val="22"/>
              </w:rPr>
              <w:t>II</w:t>
            </w:r>
            <w:r w:rsidR="00B830CA">
              <w:rPr>
                <w:sz w:val="22"/>
                <w:szCs w:val="22"/>
              </w:rPr>
              <w:t xml:space="preserve">: The </w:t>
            </w:r>
            <w:r>
              <w:rPr>
                <w:sz w:val="22"/>
                <w:szCs w:val="22"/>
              </w:rPr>
              <w:t>E</w:t>
            </w:r>
            <w:r w:rsidR="00B830CA">
              <w:rPr>
                <w:sz w:val="22"/>
                <w:szCs w:val="22"/>
              </w:rPr>
              <w:t xml:space="preserve">ffect of </w:t>
            </w:r>
            <w:r>
              <w:rPr>
                <w:sz w:val="22"/>
                <w:szCs w:val="22"/>
              </w:rPr>
              <w:t>C</w:t>
            </w:r>
            <w:r w:rsidR="00B830CA">
              <w:rPr>
                <w:sz w:val="22"/>
                <w:szCs w:val="22"/>
              </w:rPr>
              <w:t>ategorization</w:t>
            </w:r>
          </w:p>
        </w:tc>
      </w:tr>
      <w:tr w:rsidR="00B830CA" w:rsidRPr="00DC1C30" w14:paraId="1E65D930" w14:textId="77777777" w:rsidTr="001611C8">
        <w:tc>
          <w:tcPr>
            <w:tcW w:w="1623" w:type="dxa"/>
            <w:tcBorders>
              <w:top w:val="single" w:sz="4" w:space="0" w:color="auto"/>
            </w:tcBorders>
          </w:tcPr>
          <w:p w14:paraId="1BB5DF3D" w14:textId="77777777" w:rsidR="00B830CA" w:rsidRPr="00DC1C30" w:rsidRDefault="00B830CA" w:rsidP="00673D03">
            <w:pPr>
              <w:rPr>
                <w:sz w:val="22"/>
                <w:szCs w:val="22"/>
              </w:rPr>
            </w:pPr>
            <w:r w:rsidRPr="00DC1C30">
              <w:rPr>
                <w:sz w:val="22"/>
                <w:szCs w:val="22"/>
              </w:rPr>
              <w:t>Outcome</w:t>
            </w:r>
          </w:p>
        </w:tc>
        <w:tc>
          <w:tcPr>
            <w:tcW w:w="987" w:type="dxa"/>
            <w:tcBorders>
              <w:top w:val="single" w:sz="4" w:space="0" w:color="auto"/>
            </w:tcBorders>
          </w:tcPr>
          <w:p w14:paraId="2B41F90F" w14:textId="77777777" w:rsidR="00B830CA" w:rsidRDefault="00B830CA" w:rsidP="00673D03">
            <w:pPr>
              <w:jc w:val="center"/>
              <w:rPr>
                <w:sz w:val="20"/>
                <w:szCs w:val="20"/>
              </w:rPr>
            </w:pPr>
            <w:r>
              <w:rPr>
                <w:sz w:val="20"/>
                <w:szCs w:val="20"/>
              </w:rPr>
              <w:t>Test</w:t>
            </w:r>
          </w:p>
          <w:p w14:paraId="1CFC7C62" w14:textId="77777777" w:rsidR="00B830CA" w:rsidRPr="00345619" w:rsidRDefault="00B830CA" w:rsidP="00673D03">
            <w:pPr>
              <w:jc w:val="center"/>
              <w:rPr>
                <w:sz w:val="20"/>
                <w:szCs w:val="20"/>
              </w:rPr>
            </w:pPr>
            <w:r w:rsidRPr="00345619">
              <w:rPr>
                <w:sz w:val="20"/>
                <w:szCs w:val="20"/>
              </w:rPr>
              <w:t>Group</w:t>
            </w:r>
          </w:p>
        </w:tc>
        <w:tc>
          <w:tcPr>
            <w:tcW w:w="990" w:type="dxa"/>
            <w:tcBorders>
              <w:top w:val="single" w:sz="4" w:space="0" w:color="auto"/>
            </w:tcBorders>
          </w:tcPr>
          <w:p w14:paraId="1D3C7D77" w14:textId="77777777" w:rsidR="00B830CA" w:rsidRPr="00345619" w:rsidRDefault="00B830CA" w:rsidP="00673D03">
            <w:pPr>
              <w:jc w:val="center"/>
              <w:rPr>
                <w:sz w:val="20"/>
                <w:szCs w:val="20"/>
              </w:rPr>
            </w:pPr>
            <w:r w:rsidRPr="00345619">
              <w:rPr>
                <w:sz w:val="20"/>
                <w:szCs w:val="20"/>
              </w:rPr>
              <w:t>Control Group</w:t>
            </w:r>
          </w:p>
        </w:tc>
        <w:tc>
          <w:tcPr>
            <w:tcW w:w="720" w:type="dxa"/>
            <w:tcBorders>
              <w:top w:val="single" w:sz="4" w:space="0" w:color="auto"/>
            </w:tcBorders>
          </w:tcPr>
          <w:p w14:paraId="34A60B1C" w14:textId="77777777" w:rsidR="00B830CA" w:rsidRPr="00345619" w:rsidRDefault="00B830CA" w:rsidP="00673D03">
            <w:pPr>
              <w:jc w:val="center"/>
              <w:rPr>
                <w:sz w:val="20"/>
                <w:szCs w:val="20"/>
              </w:rPr>
            </w:pPr>
            <w:proofErr w:type="gramStart"/>
            <w:r w:rsidRPr="00345619">
              <w:rPr>
                <w:sz w:val="20"/>
                <w:szCs w:val="20"/>
              </w:rPr>
              <w:t>t(</w:t>
            </w:r>
            <w:proofErr w:type="gramEnd"/>
            <w:r w:rsidRPr="00345619">
              <w:rPr>
                <w:sz w:val="20"/>
                <w:szCs w:val="20"/>
              </w:rPr>
              <w:t>392)</w:t>
            </w:r>
          </w:p>
        </w:tc>
        <w:tc>
          <w:tcPr>
            <w:tcW w:w="990" w:type="dxa"/>
            <w:tcBorders>
              <w:top w:val="single" w:sz="4" w:space="0" w:color="auto"/>
            </w:tcBorders>
          </w:tcPr>
          <w:p w14:paraId="6104F295" w14:textId="77777777" w:rsidR="00B830CA" w:rsidRPr="00345619" w:rsidRDefault="00B830CA" w:rsidP="00673D03">
            <w:pPr>
              <w:jc w:val="center"/>
              <w:rPr>
                <w:sz w:val="20"/>
                <w:szCs w:val="20"/>
              </w:rPr>
            </w:pPr>
            <w:r>
              <w:rPr>
                <w:sz w:val="20"/>
                <w:szCs w:val="20"/>
              </w:rPr>
              <w:t>Test</w:t>
            </w:r>
            <w:r w:rsidRPr="00345619">
              <w:rPr>
                <w:sz w:val="20"/>
                <w:szCs w:val="20"/>
              </w:rPr>
              <w:t xml:space="preserve"> Group</w:t>
            </w:r>
          </w:p>
        </w:tc>
        <w:tc>
          <w:tcPr>
            <w:tcW w:w="990" w:type="dxa"/>
            <w:tcBorders>
              <w:top w:val="single" w:sz="4" w:space="0" w:color="auto"/>
            </w:tcBorders>
          </w:tcPr>
          <w:p w14:paraId="15DB2DED" w14:textId="77777777" w:rsidR="00B830CA" w:rsidRPr="00345619" w:rsidRDefault="00B830CA" w:rsidP="00673D03">
            <w:pPr>
              <w:jc w:val="center"/>
              <w:rPr>
                <w:sz w:val="20"/>
                <w:szCs w:val="20"/>
              </w:rPr>
            </w:pPr>
            <w:r w:rsidRPr="00345619">
              <w:rPr>
                <w:sz w:val="20"/>
                <w:szCs w:val="20"/>
              </w:rPr>
              <w:t>Control Group</w:t>
            </w:r>
          </w:p>
        </w:tc>
        <w:tc>
          <w:tcPr>
            <w:tcW w:w="900" w:type="dxa"/>
            <w:tcBorders>
              <w:top w:val="single" w:sz="4" w:space="0" w:color="auto"/>
            </w:tcBorders>
          </w:tcPr>
          <w:p w14:paraId="147D90E0" w14:textId="77777777" w:rsidR="00B830CA" w:rsidRPr="00345619" w:rsidRDefault="00B830CA" w:rsidP="00673D03">
            <w:pPr>
              <w:jc w:val="center"/>
              <w:rPr>
                <w:sz w:val="20"/>
                <w:szCs w:val="20"/>
              </w:rPr>
            </w:pPr>
            <w:proofErr w:type="gramStart"/>
            <w:r w:rsidRPr="00345619">
              <w:rPr>
                <w:sz w:val="20"/>
                <w:szCs w:val="20"/>
              </w:rPr>
              <w:t>t(</w:t>
            </w:r>
            <w:proofErr w:type="gramEnd"/>
            <w:r w:rsidRPr="00345619">
              <w:rPr>
                <w:sz w:val="20"/>
                <w:szCs w:val="20"/>
              </w:rPr>
              <w:t>362)</w:t>
            </w:r>
          </w:p>
        </w:tc>
        <w:tc>
          <w:tcPr>
            <w:tcW w:w="900" w:type="dxa"/>
            <w:tcBorders>
              <w:top w:val="single" w:sz="4" w:space="0" w:color="auto"/>
            </w:tcBorders>
          </w:tcPr>
          <w:p w14:paraId="302BA88F" w14:textId="77777777" w:rsidR="00B830CA" w:rsidRPr="00345619" w:rsidRDefault="00B830CA" w:rsidP="00673D03">
            <w:pPr>
              <w:jc w:val="center"/>
              <w:rPr>
                <w:sz w:val="20"/>
                <w:szCs w:val="20"/>
              </w:rPr>
            </w:pPr>
            <w:r>
              <w:rPr>
                <w:sz w:val="20"/>
                <w:szCs w:val="20"/>
              </w:rPr>
              <w:t xml:space="preserve">Test </w:t>
            </w:r>
            <w:r w:rsidRPr="00345619">
              <w:rPr>
                <w:sz w:val="20"/>
                <w:szCs w:val="20"/>
              </w:rPr>
              <w:t>Group</w:t>
            </w:r>
          </w:p>
        </w:tc>
        <w:tc>
          <w:tcPr>
            <w:tcW w:w="990" w:type="dxa"/>
            <w:tcBorders>
              <w:top w:val="single" w:sz="4" w:space="0" w:color="auto"/>
            </w:tcBorders>
          </w:tcPr>
          <w:p w14:paraId="15EE3EDB" w14:textId="77777777" w:rsidR="00B830CA" w:rsidRPr="00345619" w:rsidRDefault="00B830CA" w:rsidP="00673D03">
            <w:pPr>
              <w:jc w:val="center"/>
              <w:rPr>
                <w:sz w:val="20"/>
                <w:szCs w:val="20"/>
              </w:rPr>
            </w:pPr>
            <w:r w:rsidRPr="00345619">
              <w:rPr>
                <w:sz w:val="20"/>
                <w:szCs w:val="20"/>
              </w:rPr>
              <w:t>Control Group</w:t>
            </w:r>
          </w:p>
        </w:tc>
        <w:tc>
          <w:tcPr>
            <w:tcW w:w="810" w:type="dxa"/>
            <w:tcBorders>
              <w:top w:val="single" w:sz="4" w:space="0" w:color="auto"/>
            </w:tcBorders>
          </w:tcPr>
          <w:p w14:paraId="6FEE2748" w14:textId="77777777" w:rsidR="00B830CA" w:rsidRPr="00345619" w:rsidRDefault="00B830CA" w:rsidP="00673D03">
            <w:pPr>
              <w:jc w:val="center"/>
              <w:rPr>
                <w:sz w:val="20"/>
                <w:szCs w:val="20"/>
              </w:rPr>
            </w:pPr>
            <w:proofErr w:type="gramStart"/>
            <w:r w:rsidRPr="00345619">
              <w:rPr>
                <w:sz w:val="20"/>
                <w:szCs w:val="20"/>
              </w:rPr>
              <w:t>t(</w:t>
            </w:r>
            <w:proofErr w:type="gramEnd"/>
            <w:r w:rsidRPr="00345619">
              <w:rPr>
                <w:sz w:val="20"/>
                <w:szCs w:val="20"/>
              </w:rPr>
              <w:t>281)</w:t>
            </w:r>
          </w:p>
        </w:tc>
      </w:tr>
      <w:tr w:rsidR="00B830CA" w:rsidRPr="00DC1C30" w14:paraId="19D5475D" w14:textId="77777777" w:rsidTr="001611C8">
        <w:tc>
          <w:tcPr>
            <w:tcW w:w="1623" w:type="dxa"/>
            <w:tcBorders>
              <w:bottom w:val="single" w:sz="4" w:space="0" w:color="auto"/>
            </w:tcBorders>
          </w:tcPr>
          <w:p w14:paraId="4449CCCC" w14:textId="77777777" w:rsidR="00B830CA" w:rsidRPr="00DC1C30" w:rsidRDefault="00B830CA" w:rsidP="00673D03">
            <w:pPr>
              <w:rPr>
                <w:sz w:val="22"/>
                <w:szCs w:val="22"/>
              </w:rPr>
            </w:pPr>
          </w:p>
        </w:tc>
        <w:tc>
          <w:tcPr>
            <w:tcW w:w="987" w:type="dxa"/>
            <w:tcBorders>
              <w:bottom w:val="single" w:sz="4" w:space="0" w:color="auto"/>
            </w:tcBorders>
          </w:tcPr>
          <w:p w14:paraId="5E427717" w14:textId="77777777" w:rsidR="00B830CA" w:rsidRPr="00DC1C30" w:rsidRDefault="00B830CA" w:rsidP="00673D03">
            <w:pPr>
              <w:jc w:val="center"/>
              <w:rPr>
                <w:sz w:val="22"/>
                <w:szCs w:val="22"/>
              </w:rPr>
            </w:pPr>
            <w:r w:rsidRPr="00DC1C30">
              <w:rPr>
                <w:sz w:val="22"/>
                <w:szCs w:val="22"/>
              </w:rPr>
              <w:t>M (SD)</w:t>
            </w:r>
          </w:p>
        </w:tc>
        <w:tc>
          <w:tcPr>
            <w:tcW w:w="990" w:type="dxa"/>
            <w:tcBorders>
              <w:bottom w:val="single" w:sz="4" w:space="0" w:color="auto"/>
            </w:tcBorders>
          </w:tcPr>
          <w:p w14:paraId="36DF840C" w14:textId="77777777" w:rsidR="00B830CA" w:rsidRPr="00DC1C30" w:rsidRDefault="00B830CA" w:rsidP="00673D03">
            <w:pPr>
              <w:jc w:val="center"/>
              <w:rPr>
                <w:sz w:val="22"/>
                <w:szCs w:val="22"/>
              </w:rPr>
            </w:pPr>
            <w:r w:rsidRPr="00DC1C30">
              <w:rPr>
                <w:sz w:val="22"/>
                <w:szCs w:val="22"/>
              </w:rPr>
              <w:t>M (SD)</w:t>
            </w:r>
          </w:p>
        </w:tc>
        <w:tc>
          <w:tcPr>
            <w:tcW w:w="720" w:type="dxa"/>
            <w:tcBorders>
              <w:bottom w:val="single" w:sz="4" w:space="0" w:color="auto"/>
            </w:tcBorders>
          </w:tcPr>
          <w:p w14:paraId="37D9A045" w14:textId="77777777" w:rsidR="00B830CA" w:rsidRPr="00DC1C30" w:rsidRDefault="00B830CA" w:rsidP="00673D03">
            <w:pPr>
              <w:jc w:val="center"/>
              <w:rPr>
                <w:sz w:val="22"/>
                <w:szCs w:val="22"/>
              </w:rPr>
            </w:pPr>
          </w:p>
        </w:tc>
        <w:tc>
          <w:tcPr>
            <w:tcW w:w="990" w:type="dxa"/>
            <w:tcBorders>
              <w:bottom w:val="single" w:sz="4" w:space="0" w:color="auto"/>
            </w:tcBorders>
          </w:tcPr>
          <w:p w14:paraId="32E63DBA" w14:textId="77777777" w:rsidR="00B830CA" w:rsidRPr="00DC1C30" w:rsidRDefault="00B830CA" w:rsidP="00673D03">
            <w:pPr>
              <w:jc w:val="center"/>
              <w:rPr>
                <w:sz w:val="22"/>
                <w:szCs w:val="22"/>
              </w:rPr>
            </w:pPr>
            <w:r w:rsidRPr="00DC1C30">
              <w:rPr>
                <w:sz w:val="22"/>
                <w:szCs w:val="22"/>
              </w:rPr>
              <w:t>M (SD)</w:t>
            </w:r>
          </w:p>
        </w:tc>
        <w:tc>
          <w:tcPr>
            <w:tcW w:w="990" w:type="dxa"/>
            <w:tcBorders>
              <w:bottom w:val="single" w:sz="4" w:space="0" w:color="auto"/>
            </w:tcBorders>
          </w:tcPr>
          <w:p w14:paraId="45DAC70F" w14:textId="77777777" w:rsidR="00B830CA" w:rsidRPr="00DC1C30" w:rsidRDefault="00B830CA" w:rsidP="00673D03">
            <w:pPr>
              <w:jc w:val="center"/>
              <w:rPr>
                <w:sz w:val="22"/>
                <w:szCs w:val="22"/>
              </w:rPr>
            </w:pPr>
            <w:r w:rsidRPr="00DC1C30">
              <w:rPr>
                <w:sz w:val="22"/>
                <w:szCs w:val="22"/>
              </w:rPr>
              <w:t>M (SD)</w:t>
            </w:r>
          </w:p>
        </w:tc>
        <w:tc>
          <w:tcPr>
            <w:tcW w:w="900" w:type="dxa"/>
            <w:tcBorders>
              <w:bottom w:val="single" w:sz="4" w:space="0" w:color="auto"/>
            </w:tcBorders>
          </w:tcPr>
          <w:p w14:paraId="75137704" w14:textId="77777777" w:rsidR="00B830CA" w:rsidRPr="00DC1C30" w:rsidRDefault="00B830CA" w:rsidP="00673D03">
            <w:pPr>
              <w:jc w:val="center"/>
              <w:rPr>
                <w:sz w:val="22"/>
                <w:szCs w:val="22"/>
              </w:rPr>
            </w:pPr>
          </w:p>
        </w:tc>
        <w:tc>
          <w:tcPr>
            <w:tcW w:w="900" w:type="dxa"/>
            <w:tcBorders>
              <w:bottom w:val="single" w:sz="4" w:space="0" w:color="auto"/>
            </w:tcBorders>
          </w:tcPr>
          <w:p w14:paraId="06C9DC3A" w14:textId="77777777" w:rsidR="00B830CA" w:rsidRPr="00DC1C30" w:rsidRDefault="00B830CA" w:rsidP="00673D03">
            <w:pPr>
              <w:jc w:val="center"/>
              <w:rPr>
                <w:sz w:val="22"/>
                <w:szCs w:val="22"/>
              </w:rPr>
            </w:pPr>
            <w:r w:rsidRPr="00DC1C30">
              <w:rPr>
                <w:sz w:val="22"/>
                <w:szCs w:val="22"/>
              </w:rPr>
              <w:t>M (SD)</w:t>
            </w:r>
          </w:p>
        </w:tc>
        <w:tc>
          <w:tcPr>
            <w:tcW w:w="990" w:type="dxa"/>
            <w:tcBorders>
              <w:bottom w:val="single" w:sz="4" w:space="0" w:color="auto"/>
            </w:tcBorders>
          </w:tcPr>
          <w:p w14:paraId="091255A5" w14:textId="77777777" w:rsidR="00B830CA" w:rsidRPr="00DC1C30" w:rsidRDefault="00B830CA" w:rsidP="00673D03">
            <w:pPr>
              <w:jc w:val="center"/>
              <w:rPr>
                <w:sz w:val="22"/>
                <w:szCs w:val="22"/>
              </w:rPr>
            </w:pPr>
            <w:r w:rsidRPr="00DC1C30">
              <w:rPr>
                <w:sz w:val="22"/>
                <w:szCs w:val="22"/>
              </w:rPr>
              <w:t>M (SD)</w:t>
            </w:r>
          </w:p>
        </w:tc>
        <w:tc>
          <w:tcPr>
            <w:tcW w:w="810" w:type="dxa"/>
            <w:tcBorders>
              <w:bottom w:val="single" w:sz="4" w:space="0" w:color="auto"/>
            </w:tcBorders>
          </w:tcPr>
          <w:p w14:paraId="1F6C53BD" w14:textId="77777777" w:rsidR="00B830CA" w:rsidRPr="00DC1C30" w:rsidRDefault="00B830CA" w:rsidP="00673D03">
            <w:pPr>
              <w:jc w:val="center"/>
              <w:rPr>
                <w:sz w:val="22"/>
                <w:szCs w:val="22"/>
              </w:rPr>
            </w:pPr>
          </w:p>
        </w:tc>
      </w:tr>
      <w:tr w:rsidR="00B830CA" w:rsidRPr="00DC1C30" w14:paraId="0D512D75" w14:textId="77777777" w:rsidTr="001611C8">
        <w:tc>
          <w:tcPr>
            <w:tcW w:w="1623" w:type="dxa"/>
            <w:tcBorders>
              <w:top w:val="single" w:sz="4" w:space="0" w:color="auto"/>
            </w:tcBorders>
          </w:tcPr>
          <w:p w14:paraId="261F7C20" w14:textId="77777777" w:rsidR="00B830CA" w:rsidRPr="00DC1C30" w:rsidRDefault="00B830CA" w:rsidP="00673D03">
            <w:pPr>
              <w:rPr>
                <w:sz w:val="22"/>
                <w:szCs w:val="22"/>
              </w:rPr>
            </w:pPr>
            <w:r w:rsidRPr="00DC1C30">
              <w:rPr>
                <w:sz w:val="22"/>
                <w:szCs w:val="22"/>
              </w:rPr>
              <w:t>Total Price (USD)</w:t>
            </w:r>
          </w:p>
        </w:tc>
        <w:tc>
          <w:tcPr>
            <w:tcW w:w="987" w:type="dxa"/>
            <w:tcBorders>
              <w:top w:val="single" w:sz="4" w:space="0" w:color="auto"/>
            </w:tcBorders>
          </w:tcPr>
          <w:p w14:paraId="20E99A17" w14:textId="77777777" w:rsidR="00B830CA" w:rsidRPr="00DC1C30" w:rsidRDefault="00B830CA" w:rsidP="00673D03">
            <w:pPr>
              <w:jc w:val="center"/>
              <w:rPr>
                <w:sz w:val="22"/>
                <w:szCs w:val="22"/>
              </w:rPr>
            </w:pPr>
            <w:r w:rsidRPr="00DC1C30">
              <w:rPr>
                <w:sz w:val="22"/>
                <w:szCs w:val="22"/>
              </w:rPr>
              <w:t xml:space="preserve">96.05 </w:t>
            </w:r>
          </w:p>
          <w:p w14:paraId="3CC91C41" w14:textId="77777777" w:rsidR="00B830CA" w:rsidRPr="00DC1C30" w:rsidRDefault="00B830CA" w:rsidP="00673D03">
            <w:pPr>
              <w:jc w:val="center"/>
              <w:rPr>
                <w:sz w:val="22"/>
                <w:szCs w:val="22"/>
              </w:rPr>
            </w:pPr>
            <w:r w:rsidRPr="00DC1C30">
              <w:rPr>
                <w:sz w:val="22"/>
                <w:szCs w:val="22"/>
              </w:rPr>
              <w:t>(89.42)</w:t>
            </w:r>
          </w:p>
        </w:tc>
        <w:tc>
          <w:tcPr>
            <w:tcW w:w="990" w:type="dxa"/>
            <w:tcBorders>
              <w:top w:val="single" w:sz="4" w:space="0" w:color="auto"/>
            </w:tcBorders>
          </w:tcPr>
          <w:p w14:paraId="0A4DB06D" w14:textId="77777777" w:rsidR="00B830CA" w:rsidRPr="00DC1C30" w:rsidRDefault="00B830CA" w:rsidP="00673D03">
            <w:pPr>
              <w:jc w:val="center"/>
              <w:rPr>
                <w:sz w:val="22"/>
                <w:szCs w:val="22"/>
              </w:rPr>
            </w:pPr>
            <w:r w:rsidRPr="00DC1C30">
              <w:rPr>
                <w:sz w:val="22"/>
                <w:szCs w:val="22"/>
              </w:rPr>
              <w:t>110.88 (113.58)</w:t>
            </w:r>
          </w:p>
        </w:tc>
        <w:tc>
          <w:tcPr>
            <w:tcW w:w="720" w:type="dxa"/>
            <w:tcBorders>
              <w:top w:val="single" w:sz="4" w:space="0" w:color="auto"/>
            </w:tcBorders>
          </w:tcPr>
          <w:p w14:paraId="6175EBA9" w14:textId="77777777" w:rsidR="00B830CA" w:rsidRPr="00DC1C30" w:rsidRDefault="00B830CA" w:rsidP="00673D03">
            <w:pPr>
              <w:jc w:val="center"/>
              <w:rPr>
                <w:sz w:val="22"/>
                <w:szCs w:val="22"/>
              </w:rPr>
            </w:pPr>
            <w:r w:rsidRPr="00DC1C30">
              <w:rPr>
                <w:sz w:val="22"/>
                <w:szCs w:val="22"/>
              </w:rPr>
              <w:t>1.44</w:t>
            </w:r>
          </w:p>
        </w:tc>
        <w:tc>
          <w:tcPr>
            <w:tcW w:w="990" w:type="dxa"/>
            <w:tcBorders>
              <w:top w:val="single" w:sz="4" w:space="0" w:color="auto"/>
            </w:tcBorders>
          </w:tcPr>
          <w:p w14:paraId="03DE96BA" w14:textId="77777777" w:rsidR="00B830CA" w:rsidRPr="00DC1C30" w:rsidRDefault="00B830CA" w:rsidP="00673D03">
            <w:pPr>
              <w:jc w:val="center"/>
              <w:rPr>
                <w:sz w:val="22"/>
                <w:szCs w:val="22"/>
              </w:rPr>
            </w:pPr>
            <w:r w:rsidRPr="00DC1C30">
              <w:rPr>
                <w:sz w:val="22"/>
                <w:szCs w:val="22"/>
              </w:rPr>
              <w:t>109.25 (103.85)</w:t>
            </w:r>
          </w:p>
        </w:tc>
        <w:tc>
          <w:tcPr>
            <w:tcW w:w="990" w:type="dxa"/>
            <w:tcBorders>
              <w:top w:val="single" w:sz="4" w:space="0" w:color="auto"/>
            </w:tcBorders>
          </w:tcPr>
          <w:p w14:paraId="0D49195E" w14:textId="77777777" w:rsidR="00B830CA" w:rsidRPr="00DC1C30" w:rsidRDefault="00B830CA" w:rsidP="00673D03">
            <w:pPr>
              <w:jc w:val="center"/>
              <w:rPr>
                <w:sz w:val="22"/>
                <w:szCs w:val="22"/>
              </w:rPr>
            </w:pPr>
            <w:r w:rsidRPr="00DC1C30">
              <w:rPr>
                <w:sz w:val="22"/>
                <w:szCs w:val="22"/>
              </w:rPr>
              <w:t>95.42 (85.25)</w:t>
            </w:r>
          </w:p>
        </w:tc>
        <w:tc>
          <w:tcPr>
            <w:tcW w:w="900" w:type="dxa"/>
            <w:tcBorders>
              <w:top w:val="single" w:sz="4" w:space="0" w:color="auto"/>
            </w:tcBorders>
          </w:tcPr>
          <w:p w14:paraId="485EDCAD" w14:textId="77777777" w:rsidR="00B830CA" w:rsidRPr="00DC1C30" w:rsidRDefault="00B830CA" w:rsidP="00673D03">
            <w:pPr>
              <w:jc w:val="center"/>
              <w:rPr>
                <w:sz w:val="22"/>
                <w:szCs w:val="22"/>
              </w:rPr>
            </w:pPr>
            <w:r w:rsidRPr="00DC1C30">
              <w:rPr>
                <w:sz w:val="22"/>
                <w:szCs w:val="22"/>
              </w:rPr>
              <w:t>1.39</w:t>
            </w:r>
          </w:p>
        </w:tc>
        <w:tc>
          <w:tcPr>
            <w:tcW w:w="900" w:type="dxa"/>
            <w:tcBorders>
              <w:top w:val="single" w:sz="4" w:space="0" w:color="auto"/>
            </w:tcBorders>
          </w:tcPr>
          <w:p w14:paraId="7A44B528" w14:textId="77777777" w:rsidR="00B830CA" w:rsidRPr="00DC1C30" w:rsidRDefault="00B830CA" w:rsidP="00673D03">
            <w:pPr>
              <w:jc w:val="center"/>
              <w:rPr>
                <w:sz w:val="22"/>
                <w:szCs w:val="22"/>
              </w:rPr>
            </w:pPr>
            <w:r w:rsidRPr="00DC1C30">
              <w:rPr>
                <w:sz w:val="22"/>
                <w:szCs w:val="22"/>
              </w:rPr>
              <w:t>94.26 (78.41)</w:t>
            </w:r>
          </w:p>
        </w:tc>
        <w:tc>
          <w:tcPr>
            <w:tcW w:w="990" w:type="dxa"/>
            <w:tcBorders>
              <w:top w:val="single" w:sz="4" w:space="0" w:color="auto"/>
            </w:tcBorders>
          </w:tcPr>
          <w:p w14:paraId="38E6B758" w14:textId="77777777" w:rsidR="00B830CA" w:rsidRDefault="00B830CA" w:rsidP="00673D03">
            <w:pPr>
              <w:jc w:val="center"/>
              <w:rPr>
                <w:sz w:val="22"/>
                <w:szCs w:val="22"/>
              </w:rPr>
            </w:pPr>
            <w:r w:rsidRPr="00DC1C30">
              <w:rPr>
                <w:sz w:val="22"/>
                <w:szCs w:val="22"/>
              </w:rPr>
              <w:t>106.12</w:t>
            </w:r>
          </w:p>
          <w:p w14:paraId="06146F88" w14:textId="77777777" w:rsidR="00B830CA" w:rsidRPr="00DC1C30" w:rsidRDefault="00B830CA" w:rsidP="00673D03">
            <w:pPr>
              <w:jc w:val="center"/>
              <w:rPr>
                <w:sz w:val="22"/>
                <w:szCs w:val="22"/>
              </w:rPr>
            </w:pPr>
            <w:r w:rsidRPr="00DC1C30">
              <w:rPr>
                <w:sz w:val="22"/>
                <w:szCs w:val="22"/>
              </w:rPr>
              <w:t>(106.21)</w:t>
            </w:r>
          </w:p>
        </w:tc>
        <w:tc>
          <w:tcPr>
            <w:tcW w:w="810" w:type="dxa"/>
            <w:tcBorders>
              <w:top w:val="single" w:sz="4" w:space="0" w:color="auto"/>
            </w:tcBorders>
          </w:tcPr>
          <w:p w14:paraId="59076F99" w14:textId="77777777" w:rsidR="00B830CA" w:rsidRPr="00DC1C30" w:rsidRDefault="00B830CA" w:rsidP="00673D03">
            <w:pPr>
              <w:jc w:val="center"/>
              <w:rPr>
                <w:sz w:val="22"/>
                <w:szCs w:val="22"/>
              </w:rPr>
            </w:pPr>
            <w:r w:rsidRPr="00DC1C30">
              <w:rPr>
                <w:sz w:val="22"/>
                <w:szCs w:val="22"/>
              </w:rPr>
              <w:t>1.06</w:t>
            </w:r>
          </w:p>
        </w:tc>
      </w:tr>
      <w:tr w:rsidR="00B830CA" w:rsidRPr="00DC1C30" w14:paraId="6C79DAC4" w14:textId="77777777" w:rsidTr="001611C8">
        <w:tc>
          <w:tcPr>
            <w:tcW w:w="1623" w:type="dxa"/>
          </w:tcPr>
          <w:p w14:paraId="7E49920E" w14:textId="77777777" w:rsidR="00B830CA" w:rsidRPr="00DC1C30" w:rsidRDefault="00B830CA" w:rsidP="00673D03">
            <w:pPr>
              <w:rPr>
                <w:sz w:val="22"/>
                <w:szCs w:val="22"/>
              </w:rPr>
            </w:pPr>
            <w:r w:rsidRPr="00DC1C30">
              <w:rPr>
                <w:sz w:val="22"/>
                <w:szCs w:val="22"/>
              </w:rPr>
              <w:t>Number of items purchased</w:t>
            </w:r>
          </w:p>
        </w:tc>
        <w:tc>
          <w:tcPr>
            <w:tcW w:w="987" w:type="dxa"/>
          </w:tcPr>
          <w:p w14:paraId="677517E6" w14:textId="77777777" w:rsidR="00B830CA" w:rsidRPr="00DC1C30" w:rsidRDefault="00B830CA" w:rsidP="00673D03">
            <w:pPr>
              <w:jc w:val="center"/>
              <w:rPr>
                <w:sz w:val="22"/>
                <w:szCs w:val="22"/>
              </w:rPr>
            </w:pPr>
            <w:r w:rsidRPr="00DC1C30">
              <w:rPr>
                <w:sz w:val="22"/>
                <w:szCs w:val="22"/>
              </w:rPr>
              <w:t xml:space="preserve">24.72 </w:t>
            </w:r>
          </w:p>
          <w:p w14:paraId="1222B34A" w14:textId="77777777" w:rsidR="00B830CA" w:rsidRPr="00DC1C30" w:rsidRDefault="00B830CA" w:rsidP="00673D03">
            <w:pPr>
              <w:jc w:val="center"/>
              <w:rPr>
                <w:sz w:val="22"/>
                <w:szCs w:val="22"/>
              </w:rPr>
            </w:pPr>
            <w:r w:rsidRPr="00DC1C30">
              <w:rPr>
                <w:sz w:val="22"/>
                <w:szCs w:val="22"/>
              </w:rPr>
              <w:t>(21.01)</w:t>
            </w:r>
          </w:p>
        </w:tc>
        <w:tc>
          <w:tcPr>
            <w:tcW w:w="990" w:type="dxa"/>
          </w:tcPr>
          <w:p w14:paraId="5844E477" w14:textId="77777777" w:rsidR="00B830CA" w:rsidRPr="00DC1C30" w:rsidRDefault="00B830CA" w:rsidP="00673D03">
            <w:pPr>
              <w:jc w:val="center"/>
              <w:rPr>
                <w:sz w:val="22"/>
                <w:szCs w:val="22"/>
              </w:rPr>
            </w:pPr>
            <w:r w:rsidRPr="00DC1C30">
              <w:rPr>
                <w:sz w:val="22"/>
                <w:szCs w:val="22"/>
              </w:rPr>
              <w:t xml:space="preserve">30.44 </w:t>
            </w:r>
          </w:p>
          <w:p w14:paraId="65FD871D" w14:textId="77777777" w:rsidR="00B830CA" w:rsidRPr="00DC1C30" w:rsidRDefault="00B830CA" w:rsidP="00673D03">
            <w:pPr>
              <w:jc w:val="center"/>
              <w:rPr>
                <w:sz w:val="22"/>
                <w:szCs w:val="22"/>
              </w:rPr>
            </w:pPr>
            <w:r w:rsidRPr="00DC1C30">
              <w:rPr>
                <w:sz w:val="22"/>
                <w:szCs w:val="22"/>
              </w:rPr>
              <w:t>(31.94)</w:t>
            </w:r>
          </w:p>
        </w:tc>
        <w:tc>
          <w:tcPr>
            <w:tcW w:w="720" w:type="dxa"/>
          </w:tcPr>
          <w:p w14:paraId="4A35543A" w14:textId="77777777" w:rsidR="00B830CA" w:rsidRPr="00DC1C30" w:rsidRDefault="00B830CA" w:rsidP="00673D03">
            <w:pPr>
              <w:jc w:val="center"/>
              <w:rPr>
                <w:sz w:val="22"/>
                <w:szCs w:val="22"/>
              </w:rPr>
            </w:pPr>
            <w:r w:rsidRPr="00DC1C30">
              <w:rPr>
                <w:sz w:val="22"/>
                <w:szCs w:val="22"/>
              </w:rPr>
              <w:t>2.10*</w:t>
            </w:r>
          </w:p>
        </w:tc>
        <w:tc>
          <w:tcPr>
            <w:tcW w:w="990" w:type="dxa"/>
          </w:tcPr>
          <w:p w14:paraId="7AED1619" w14:textId="77777777" w:rsidR="00B830CA" w:rsidRPr="00DC1C30" w:rsidRDefault="00B830CA" w:rsidP="00673D03">
            <w:pPr>
              <w:jc w:val="center"/>
              <w:rPr>
                <w:sz w:val="22"/>
                <w:szCs w:val="22"/>
              </w:rPr>
            </w:pPr>
            <w:r w:rsidRPr="00DC1C30">
              <w:rPr>
                <w:sz w:val="22"/>
                <w:szCs w:val="22"/>
              </w:rPr>
              <w:t>29.02 (28.24)</w:t>
            </w:r>
          </w:p>
        </w:tc>
        <w:tc>
          <w:tcPr>
            <w:tcW w:w="990" w:type="dxa"/>
          </w:tcPr>
          <w:p w14:paraId="7475C5E6" w14:textId="77777777" w:rsidR="00B830CA" w:rsidRPr="00DC1C30" w:rsidRDefault="00B830CA" w:rsidP="00673D03">
            <w:pPr>
              <w:jc w:val="center"/>
              <w:rPr>
                <w:sz w:val="22"/>
                <w:szCs w:val="22"/>
              </w:rPr>
            </w:pPr>
            <w:r w:rsidRPr="00DC1C30">
              <w:rPr>
                <w:sz w:val="22"/>
                <w:szCs w:val="22"/>
              </w:rPr>
              <w:t>26.08 (22.81)</w:t>
            </w:r>
          </w:p>
        </w:tc>
        <w:tc>
          <w:tcPr>
            <w:tcW w:w="900" w:type="dxa"/>
          </w:tcPr>
          <w:p w14:paraId="6535FC78" w14:textId="77777777" w:rsidR="00B830CA" w:rsidRPr="00DC1C30" w:rsidRDefault="00B830CA" w:rsidP="00673D03">
            <w:pPr>
              <w:jc w:val="center"/>
              <w:rPr>
                <w:sz w:val="22"/>
                <w:szCs w:val="22"/>
              </w:rPr>
            </w:pPr>
            <w:r w:rsidRPr="00DC1C30">
              <w:rPr>
                <w:sz w:val="22"/>
                <w:szCs w:val="22"/>
              </w:rPr>
              <w:t>1.10</w:t>
            </w:r>
          </w:p>
        </w:tc>
        <w:tc>
          <w:tcPr>
            <w:tcW w:w="900" w:type="dxa"/>
          </w:tcPr>
          <w:p w14:paraId="6323616E" w14:textId="77777777" w:rsidR="00B830CA" w:rsidRPr="00DC1C30" w:rsidRDefault="00B830CA" w:rsidP="00673D03">
            <w:pPr>
              <w:jc w:val="center"/>
              <w:rPr>
                <w:sz w:val="22"/>
                <w:szCs w:val="22"/>
              </w:rPr>
            </w:pPr>
            <w:r w:rsidRPr="00DC1C30">
              <w:rPr>
                <w:sz w:val="22"/>
                <w:szCs w:val="22"/>
              </w:rPr>
              <w:t>28.48 (23.59)</w:t>
            </w:r>
          </w:p>
        </w:tc>
        <w:tc>
          <w:tcPr>
            <w:tcW w:w="990" w:type="dxa"/>
          </w:tcPr>
          <w:p w14:paraId="5F5DB0FF" w14:textId="77777777" w:rsidR="00B830CA" w:rsidRPr="00DC1C30" w:rsidRDefault="00B830CA" w:rsidP="00673D03">
            <w:pPr>
              <w:jc w:val="center"/>
              <w:rPr>
                <w:sz w:val="22"/>
                <w:szCs w:val="22"/>
              </w:rPr>
            </w:pPr>
            <w:r w:rsidRPr="00DC1C30">
              <w:rPr>
                <w:sz w:val="22"/>
                <w:szCs w:val="22"/>
              </w:rPr>
              <w:t>33.22 (36.19)</w:t>
            </w:r>
          </w:p>
        </w:tc>
        <w:tc>
          <w:tcPr>
            <w:tcW w:w="810" w:type="dxa"/>
          </w:tcPr>
          <w:p w14:paraId="285C0007" w14:textId="77777777" w:rsidR="00B830CA" w:rsidRPr="00DC1C30" w:rsidRDefault="00B830CA" w:rsidP="00673D03">
            <w:pPr>
              <w:jc w:val="center"/>
              <w:rPr>
                <w:sz w:val="22"/>
                <w:szCs w:val="22"/>
              </w:rPr>
            </w:pPr>
            <w:r w:rsidRPr="00DC1C30">
              <w:rPr>
                <w:sz w:val="22"/>
                <w:szCs w:val="22"/>
              </w:rPr>
              <w:t>1.31</w:t>
            </w:r>
          </w:p>
        </w:tc>
      </w:tr>
      <w:tr w:rsidR="00B830CA" w:rsidRPr="00DC1C30" w14:paraId="4C97FD66" w14:textId="77777777" w:rsidTr="001611C8">
        <w:tc>
          <w:tcPr>
            <w:tcW w:w="1623" w:type="dxa"/>
          </w:tcPr>
          <w:p w14:paraId="19CA8352" w14:textId="77777777" w:rsidR="00B830CA" w:rsidRPr="00DC1C30" w:rsidRDefault="00B830CA" w:rsidP="00673D03">
            <w:pPr>
              <w:rPr>
                <w:sz w:val="22"/>
                <w:szCs w:val="22"/>
              </w:rPr>
            </w:pPr>
            <w:r w:rsidRPr="00DC1C30">
              <w:rPr>
                <w:sz w:val="22"/>
                <w:szCs w:val="22"/>
              </w:rPr>
              <w:t>Calories per serving</w:t>
            </w:r>
          </w:p>
        </w:tc>
        <w:tc>
          <w:tcPr>
            <w:tcW w:w="987" w:type="dxa"/>
          </w:tcPr>
          <w:p w14:paraId="091CACD8" w14:textId="77777777" w:rsidR="00B830CA" w:rsidRPr="00DC1C30" w:rsidRDefault="00B830CA" w:rsidP="00673D03">
            <w:pPr>
              <w:jc w:val="center"/>
              <w:rPr>
                <w:sz w:val="22"/>
                <w:szCs w:val="22"/>
              </w:rPr>
            </w:pPr>
            <w:r w:rsidRPr="00DC1C30">
              <w:rPr>
                <w:sz w:val="22"/>
                <w:szCs w:val="22"/>
              </w:rPr>
              <w:t xml:space="preserve">123.55 </w:t>
            </w:r>
          </w:p>
          <w:p w14:paraId="2C1F9BF5" w14:textId="77777777" w:rsidR="00B830CA" w:rsidRPr="00DC1C30" w:rsidRDefault="00B830CA" w:rsidP="00673D03">
            <w:pPr>
              <w:jc w:val="center"/>
              <w:rPr>
                <w:sz w:val="22"/>
                <w:szCs w:val="22"/>
              </w:rPr>
            </w:pPr>
            <w:r w:rsidRPr="00DC1C30">
              <w:rPr>
                <w:sz w:val="22"/>
                <w:szCs w:val="22"/>
              </w:rPr>
              <w:t>(53.35)</w:t>
            </w:r>
          </w:p>
        </w:tc>
        <w:tc>
          <w:tcPr>
            <w:tcW w:w="990" w:type="dxa"/>
          </w:tcPr>
          <w:p w14:paraId="53AED667" w14:textId="77777777" w:rsidR="00B830CA" w:rsidRPr="00DC1C30" w:rsidRDefault="00B830CA" w:rsidP="00673D03">
            <w:pPr>
              <w:jc w:val="center"/>
              <w:rPr>
                <w:sz w:val="22"/>
                <w:szCs w:val="22"/>
              </w:rPr>
            </w:pPr>
            <w:r w:rsidRPr="00DC1C30">
              <w:rPr>
                <w:sz w:val="22"/>
                <w:szCs w:val="22"/>
              </w:rPr>
              <w:t xml:space="preserve">122.76 </w:t>
            </w:r>
          </w:p>
          <w:p w14:paraId="7564036F" w14:textId="77777777" w:rsidR="00B830CA" w:rsidRPr="00DC1C30" w:rsidRDefault="00B830CA" w:rsidP="00673D03">
            <w:pPr>
              <w:jc w:val="center"/>
              <w:rPr>
                <w:sz w:val="22"/>
                <w:szCs w:val="22"/>
              </w:rPr>
            </w:pPr>
            <w:r w:rsidRPr="00DC1C30">
              <w:rPr>
                <w:sz w:val="22"/>
                <w:szCs w:val="22"/>
              </w:rPr>
              <w:t>(44.01)</w:t>
            </w:r>
          </w:p>
        </w:tc>
        <w:tc>
          <w:tcPr>
            <w:tcW w:w="720" w:type="dxa"/>
          </w:tcPr>
          <w:p w14:paraId="18E4A73F" w14:textId="77777777" w:rsidR="00B830CA" w:rsidRPr="00DC1C30" w:rsidRDefault="00B830CA" w:rsidP="00673D03">
            <w:pPr>
              <w:jc w:val="center"/>
              <w:rPr>
                <w:sz w:val="22"/>
                <w:szCs w:val="22"/>
              </w:rPr>
            </w:pPr>
            <w:r w:rsidRPr="00DC1C30">
              <w:rPr>
                <w:sz w:val="22"/>
                <w:szCs w:val="22"/>
              </w:rPr>
              <w:t>.16</w:t>
            </w:r>
          </w:p>
        </w:tc>
        <w:tc>
          <w:tcPr>
            <w:tcW w:w="990" w:type="dxa"/>
          </w:tcPr>
          <w:p w14:paraId="16F0E159" w14:textId="77777777" w:rsidR="00B830CA" w:rsidRPr="00DC1C30" w:rsidRDefault="00B830CA" w:rsidP="00673D03">
            <w:pPr>
              <w:jc w:val="center"/>
              <w:rPr>
                <w:sz w:val="22"/>
                <w:szCs w:val="22"/>
              </w:rPr>
            </w:pPr>
            <w:r w:rsidRPr="00DC1C30">
              <w:rPr>
                <w:sz w:val="22"/>
                <w:szCs w:val="22"/>
              </w:rPr>
              <w:t>115.36 (35.70)</w:t>
            </w:r>
          </w:p>
        </w:tc>
        <w:tc>
          <w:tcPr>
            <w:tcW w:w="990" w:type="dxa"/>
          </w:tcPr>
          <w:p w14:paraId="3201D56C" w14:textId="77777777" w:rsidR="00B830CA" w:rsidRPr="00DC1C30" w:rsidRDefault="00B830CA" w:rsidP="00673D03">
            <w:pPr>
              <w:jc w:val="center"/>
              <w:rPr>
                <w:sz w:val="22"/>
                <w:szCs w:val="22"/>
              </w:rPr>
            </w:pPr>
            <w:r w:rsidRPr="00DC1C30">
              <w:rPr>
                <w:sz w:val="22"/>
                <w:szCs w:val="22"/>
              </w:rPr>
              <w:t>130.69 (55.95)</w:t>
            </w:r>
          </w:p>
        </w:tc>
        <w:tc>
          <w:tcPr>
            <w:tcW w:w="900" w:type="dxa"/>
          </w:tcPr>
          <w:p w14:paraId="0B654BA8" w14:textId="63B6CE4D" w:rsidR="00B830CA" w:rsidRPr="00DC1C30" w:rsidRDefault="00B830CA" w:rsidP="00673D03">
            <w:pPr>
              <w:jc w:val="center"/>
              <w:rPr>
                <w:sz w:val="22"/>
                <w:szCs w:val="22"/>
              </w:rPr>
            </w:pPr>
            <w:r w:rsidRPr="00DC1C30">
              <w:rPr>
                <w:sz w:val="22"/>
                <w:szCs w:val="22"/>
              </w:rPr>
              <w:t>3.10*</w:t>
            </w:r>
            <w:r w:rsidR="001611C8">
              <w:rPr>
                <w:sz w:val="22"/>
                <w:szCs w:val="22"/>
              </w:rPr>
              <w:t>*</w:t>
            </w:r>
          </w:p>
        </w:tc>
        <w:tc>
          <w:tcPr>
            <w:tcW w:w="900" w:type="dxa"/>
          </w:tcPr>
          <w:p w14:paraId="48142115" w14:textId="77777777" w:rsidR="00B830CA" w:rsidRPr="00DC1C30" w:rsidRDefault="00B830CA" w:rsidP="00673D03">
            <w:pPr>
              <w:jc w:val="center"/>
              <w:rPr>
                <w:sz w:val="22"/>
                <w:szCs w:val="22"/>
              </w:rPr>
            </w:pPr>
            <w:r w:rsidRPr="00DC1C30">
              <w:rPr>
                <w:sz w:val="22"/>
                <w:szCs w:val="22"/>
              </w:rPr>
              <w:t>116.67 (44.96)</w:t>
            </w:r>
          </w:p>
        </w:tc>
        <w:tc>
          <w:tcPr>
            <w:tcW w:w="990" w:type="dxa"/>
          </w:tcPr>
          <w:p w14:paraId="4745ED2F" w14:textId="77777777" w:rsidR="00B830CA" w:rsidRPr="00DC1C30" w:rsidRDefault="00B830CA" w:rsidP="00673D03">
            <w:pPr>
              <w:jc w:val="center"/>
              <w:rPr>
                <w:sz w:val="22"/>
                <w:szCs w:val="22"/>
              </w:rPr>
            </w:pPr>
            <w:r w:rsidRPr="00DC1C30">
              <w:rPr>
                <w:sz w:val="22"/>
                <w:szCs w:val="22"/>
              </w:rPr>
              <w:t>120.35 (34.14)</w:t>
            </w:r>
          </w:p>
        </w:tc>
        <w:tc>
          <w:tcPr>
            <w:tcW w:w="810" w:type="dxa"/>
          </w:tcPr>
          <w:p w14:paraId="60A8F3A5" w14:textId="77777777" w:rsidR="00B830CA" w:rsidRPr="00DC1C30" w:rsidRDefault="00B830CA" w:rsidP="00673D03">
            <w:pPr>
              <w:jc w:val="center"/>
              <w:rPr>
                <w:sz w:val="22"/>
                <w:szCs w:val="22"/>
              </w:rPr>
            </w:pPr>
            <w:r w:rsidRPr="00DC1C30">
              <w:rPr>
                <w:sz w:val="22"/>
                <w:szCs w:val="22"/>
              </w:rPr>
              <w:t>.78</w:t>
            </w:r>
          </w:p>
        </w:tc>
      </w:tr>
      <w:tr w:rsidR="00B830CA" w:rsidRPr="00DC1C30" w14:paraId="7C95DBD4" w14:textId="77777777" w:rsidTr="001611C8">
        <w:tc>
          <w:tcPr>
            <w:tcW w:w="1623" w:type="dxa"/>
          </w:tcPr>
          <w:p w14:paraId="7DE10093" w14:textId="77777777" w:rsidR="00B830CA" w:rsidRPr="00DC1C30" w:rsidRDefault="00B830CA" w:rsidP="00673D03">
            <w:pPr>
              <w:rPr>
                <w:sz w:val="22"/>
                <w:szCs w:val="22"/>
              </w:rPr>
            </w:pPr>
            <w:r w:rsidRPr="00DC1C30">
              <w:rPr>
                <w:sz w:val="22"/>
                <w:szCs w:val="22"/>
              </w:rPr>
              <w:t>Total fat (g) per serving</w:t>
            </w:r>
          </w:p>
        </w:tc>
        <w:tc>
          <w:tcPr>
            <w:tcW w:w="987" w:type="dxa"/>
          </w:tcPr>
          <w:p w14:paraId="3BE01564" w14:textId="77777777" w:rsidR="00B830CA" w:rsidRPr="00DC1C30" w:rsidRDefault="00B830CA" w:rsidP="00673D03">
            <w:pPr>
              <w:jc w:val="center"/>
              <w:rPr>
                <w:sz w:val="22"/>
                <w:szCs w:val="22"/>
              </w:rPr>
            </w:pPr>
            <w:r w:rsidRPr="00DC1C30">
              <w:rPr>
                <w:sz w:val="22"/>
                <w:szCs w:val="22"/>
              </w:rPr>
              <w:t xml:space="preserve">3.17 </w:t>
            </w:r>
          </w:p>
          <w:p w14:paraId="1EA17F43" w14:textId="77777777" w:rsidR="00B830CA" w:rsidRPr="00DC1C30" w:rsidRDefault="00B830CA" w:rsidP="00673D03">
            <w:pPr>
              <w:jc w:val="center"/>
              <w:rPr>
                <w:sz w:val="22"/>
                <w:szCs w:val="22"/>
              </w:rPr>
            </w:pPr>
            <w:r w:rsidRPr="00DC1C30">
              <w:rPr>
                <w:sz w:val="22"/>
                <w:szCs w:val="22"/>
              </w:rPr>
              <w:t>(2.09)</w:t>
            </w:r>
          </w:p>
        </w:tc>
        <w:tc>
          <w:tcPr>
            <w:tcW w:w="990" w:type="dxa"/>
          </w:tcPr>
          <w:p w14:paraId="349BF054" w14:textId="77777777" w:rsidR="00B830CA" w:rsidRPr="00DC1C30" w:rsidRDefault="00B830CA" w:rsidP="00673D03">
            <w:pPr>
              <w:jc w:val="center"/>
              <w:rPr>
                <w:sz w:val="22"/>
                <w:szCs w:val="22"/>
              </w:rPr>
            </w:pPr>
            <w:r w:rsidRPr="00DC1C30">
              <w:rPr>
                <w:sz w:val="22"/>
                <w:szCs w:val="22"/>
              </w:rPr>
              <w:t xml:space="preserve">3.22 </w:t>
            </w:r>
          </w:p>
          <w:p w14:paraId="5D5F88D3" w14:textId="77777777" w:rsidR="00B830CA" w:rsidRPr="00DC1C30" w:rsidRDefault="00B830CA" w:rsidP="00673D03">
            <w:pPr>
              <w:jc w:val="center"/>
              <w:rPr>
                <w:sz w:val="22"/>
                <w:szCs w:val="22"/>
              </w:rPr>
            </w:pPr>
            <w:r w:rsidRPr="00DC1C30">
              <w:rPr>
                <w:sz w:val="22"/>
                <w:szCs w:val="22"/>
              </w:rPr>
              <w:t>(2.18)</w:t>
            </w:r>
          </w:p>
        </w:tc>
        <w:tc>
          <w:tcPr>
            <w:tcW w:w="720" w:type="dxa"/>
          </w:tcPr>
          <w:p w14:paraId="3510FD57" w14:textId="77777777" w:rsidR="00B830CA" w:rsidRPr="00DC1C30" w:rsidRDefault="00B830CA" w:rsidP="00673D03">
            <w:pPr>
              <w:jc w:val="center"/>
              <w:rPr>
                <w:sz w:val="22"/>
                <w:szCs w:val="22"/>
              </w:rPr>
            </w:pPr>
            <w:r w:rsidRPr="00DC1C30">
              <w:rPr>
                <w:sz w:val="22"/>
                <w:szCs w:val="22"/>
              </w:rPr>
              <w:t>.23</w:t>
            </w:r>
          </w:p>
        </w:tc>
        <w:tc>
          <w:tcPr>
            <w:tcW w:w="990" w:type="dxa"/>
          </w:tcPr>
          <w:p w14:paraId="67D3C1A7" w14:textId="77777777" w:rsidR="00B830CA" w:rsidRPr="00DC1C30" w:rsidRDefault="00B830CA" w:rsidP="00673D03">
            <w:pPr>
              <w:jc w:val="center"/>
              <w:rPr>
                <w:sz w:val="22"/>
                <w:szCs w:val="22"/>
              </w:rPr>
            </w:pPr>
            <w:r w:rsidRPr="00DC1C30">
              <w:rPr>
                <w:sz w:val="22"/>
                <w:szCs w:val="22"/>
              </w:rPr>
              <w:t xml:space="preserve">2.95 </w:t>
            </w:r>
          </w:p>
          <w:p w14:paraId="41B915B6" w14:textId="77777777" w:rsidR="00B830CA" w:rsidRPr="00DC1C30" w:rsidRDefault="00B830CA" w:rsidP="00673D03">
            <w:pPr>
              <w:jc w:val="center"/>
              <w:rPr>
                <w:sz w:val="22"/>
                <w:szCs w:val="22"/>
              </w:rPr>
            </w:pPr>
            <w:r w:rsidRPr="00DC1C30">
              <w:rPr>
                <w:sz w:val="22"/>
                <w:szCs w:val="22"/>
              </w:rPr>
              <w:t>(1.78)</w:t>
            </w:r>
          </w:p>
        </w:tc>
        <w:tc>
          <w:tcPr>
            <w:tcW w:w="990" w:type="dxa"/>
          </w:tcPr>
          <w:p w14:paraId="7482AC20" w14:textId="77777777" w:rsidR="00B830CA" w:rsidRPr="00DC1C30" w:rsidRDefault="00B830CA" w:rsidP="00673D03">
            <w:pPr>
              <w:jc w:val="center"/>
              <w:rPr>
                <w:sz w:val="22"/>
                <w:szCs w:val="22"/>
              </w:rPr>
            </w:pPr>
            <w:r w:rsidRPr="00DC1C30">
              <w:rPr>
                <w:sz w:val="22"/>
                <w:szCs w:val="22"/>
              </w:rPr>
              <w:t>3.25 (1.94)</w:t>
            </w:r>
          </w:p>
        </w:tc>
        <w:tc>
          <w:tcPr>
            <w:tcW w:w="900" w:type="dxa"/>
          </w:tcPr>
          <w:p w14:paraId="54122CA1" w14:textId="77777777" w:rsidR="00B830CA" w:rsidRPr="00DC1C30" w:rsidRDefault="00B830CA" w:rsidP="00673D03">
            <w:pPr>
              <w:jc w:val="center"/>
              <w:rPr>
                <w:sz w:val="22"/>
                <w:szCs w:val="22"/>
              </w:rPr>
            </w:pPr>
            <w:r w:rsidRPr="00DC1C30">
              <w:rPr>
                <w:sz w:val="22"/>
                <w:szCs w:val="22"/>
              </w:rPr>
              <w:t>1.52</w:t>
            </w:r>
          </w:p>
        </w:tc>
        <w:tc>
          <w:tcPr>
            <w:tcW w:w="900" w:type="dxa"/>
          </w:tcPr>
          <w:p w14:paraId="5846F0A2" w14:textId="77777777" w:rsidR="00B830CA" w:rsidRPr="00DC1C30" w:rsidRDefault="00B830CA" w:rsidP="00673D03">
            <w:pPr>
              <w:jc w:val="center"/>
              <w:rPr>
                <w:sz w:val="22"/>
                <w:szCs w:val="22"/>
              </w:rPr>
            </w:pPr>
            <w:r w:rsidRPr="00DC1C30">
              <w:rPr>
                <w:sz w:val="22"/>
                <w:szCs w:val="22"/>
              </w:rPr>
              <w:t>3.48 (2.01)</w:t>
            </w:r>
          </w:p>
        </w:tc>
        <w:tc>
          <w:tcPr>
            <w:tcW w:w="990" w:type="dxa"/>
          </w:tcPr>
          <w:p w14:paraId="348A5004" w14:textId="77777777" w:rsidR="00B830CA" w:rsidRPr="00DC1C30" w:rsidRDefault="00B830CA" w:rsidP="00673D03">
            <w:pPr>
              <w:jc w:val="center"/>
              <w:rPr>
                <w:sz w:val="22"/>
                <w:szCs w:val="22"/>
              </w:rPr>
            </w:pPr>
            <w:r w:rsidRPr="00DC1C30">
              <w:rPr>
                <w:sz w:val="22"/>
                <w:szCs w:val="22"/>
              </w:rPr>
              <w:t>3.58 (1.80)</w:t>
            </w:r>
          </w:p>
        </w:tc>
        <w:tc>
          <w:tcPr>
            <w:tcW w:w="810" w:type="dxa"/>
          </w:tcPr>
          <w:p w14:paraId="392C8923" w14:textId="77777777" w:rsidR="00B830CA" w:rsidRPr="00DC1C30" w:rsidRDefault="00B830CA" w:rsidP="00673D03">
            <w:pPr>
              <w:jc w:val="center"/>
              <w:rPr>
                <w:sz w:val="22"/>
                <w:szCs w:val="22"/>
              </w:rPr>
            </w:pPr>
            <w:r w:rsidRPr="00DC1C30">
              <w:rPr>
                <w:sz w:val="22"/>
                <w:szCs w:val="22"/>
              </w:rPr>
              <w:t>.41</w:t>
            </w:r>
          </w:p>
        </w:tc>
      </w:tr>
      <w:tr w:rsidR="00B830CA" w:rsidRPr="00DC1C30" w14:paraId="122AF6A2" w14:textId="77777777" w:rsidTr="001611C8">
        <w:tc>
          <w:tcPr>
            <w:tcW w:w="1623" w:type="dxa"/>
          </w:tcPr>
          <w:p w14:paraId="1C1F453C" w14:textId="77777777" w:rsidR="00B830CA" w:rsidRPr="00DC1C30" w:rsidRDefault="00B830CA" w:rsidP="00673D03">
            <w:pPr>
              <w:rPr>
                <w:sz w:val="22"/>
                <w:szCs w:val="22"/>
              </w:rPr>
            </w:pPr>
            <w:r w:rsidRPr="00DC1C30">
              <w:rPr>
                <w:sz w:val="22"/>
                <w:szCs w:val="22"/>
              </w:rPr>
              <w:t>Saturated fat (g) per serving</w:t>
            </w:r>
          </w:p>
        </w:tc>
        <w:tc>
          <w:tcPr>
            <w:tcW w:w="987" w:type="dxa"/>
          </w:tcPr>
          <w:p w14:paraId="76AFD3F4" w14:textId="77777777" w:rsidR="00B830CA" w:rsidRPr="00DC1C30" w:rsidRDefault="00B830CA" w:rsidP="00673D03">
            <w:pPr>
              <w:jc w:val="center"/>
              <w:rPr>
                <w:sz w:val="22"/>
                <w:szCs w:val="22"/>
              </w:rPr>
            </w:pPr>
            <w:r w:rsidRPr="00DC1C30">
              <w:rPr>
                <w:sz w:val="22"/>
                <w:szCs w:val="22"/>
              </w:rPr>
              <w:t xml:space="preserve">1.16 </w:t>
            </w:r>
          </w:p>
          <w:p w14:paraId="52632A94" w14:textId="77777777" w:rsidR="00B830CA" w:rsidRPr="00DC1C30" w:rsidRDefault="00B830CA" w:rsidP="00673D03">
            <w:pPr>
              <w:jc w:val="center"/>
              <w:rPr>
                <w:sz w:val="22"/>
                <w:szCs w:val="22"/>
              </w:rPr>
            </w:pPr>
            <w:r w:rsidRPr="00DC1C30">
              <w:rPr>
                <w:sz w:val="22"/>
                <w:szCs w:val="22"/>
              </w:rPr>
              <w:t>(.92)</w:t>
            </w:r>
          </w:p>
        </w:tc>
        <w:tc>
          <w:tcPr>
            <w:tcW w:w="990" w:type="dxa"/>
          </w:tcPr>
          <w:p w14:paraId="4165622E" w14:textId="77777777" w:rsidR="00B830CA" w:rsidRPr="00DC1C30" w:rsidRDefault="00B830CA" w:rsidP="00673D03">
            <w:pPr>
              <w:jc w:val="center"/>
              <w:rPr>
                <w:sz w:val="22"/>
                <w:szCs w:val="22"/>
              </w:rPr>
            </w:pPr>
            <w:r w:rsidRPr="00DC1C30">
              <w:rPr>
                <w:sz w:val="22"/>
                <w:szCs w:val="22"/>
              </w:rPr>
              <w:t xml:space="preserve">1.13 </w:t>
            </w:r>
          </w:p>
          <w:p w14:paraId="6974668F" w14:textId="77777777" w:rsidR="00B830CA" w:rsidRPr="00DC1C30" w:rsidRDefault="00B830CA" w:rsidP="00673D03">
            <w:pPr>
              <w:jc w:val="center"/>
              <w:rPr>
                <w:sz w:val="22"/>
                <w:szCs w:val="22"/>
              </w:rPr>
            </w:pPr>
            <w:r w:rsidRPr="00DC1C30">
              <w:rPr>
                <w:sz w:val="22"/>
                <w:szCs w:val="22"/>
              </w:rPr>
              <w:t>(.89)</w:t>
            </w:r>
          </w:p>
        </w:tc>
        <w:tc>
          <w:tcPr>
            <w:tcW w:w="720" w:type="dxa"/>
          </w:tcPr>
          <w:p w14:paraId="318F72B6" w14:textId="77777777" w:rsidR="00B830CA" w:rsidRPr="00DC1C30" w:rsidRDefault="00B830CA" w:rsidP="00673D03">
            <w:pPr>
              <w:jc w:val="center"/>
              <w:rPr>
                <w:sz w:val="22"/>
                <w:szCs w:val="22"/>
              </w:rPr>
            </w:pPr>
            <w:r w:rsidRPr="00DC1C30">
              <w:rPr>
                <w:sz w:val="22"/>
                <w:szCs w:val="22"/>
              </w:rPr>
              <w:t>.25</w:t>
            </w:r>
          </w:p>
        </w:tc>
        <w:tc>
          <w:tcPr>
            <w:tcW w:w="990" w:type="dxa"/>
          </w:tcPr>
          <w:p w14:paraId="67308622" w14:textId="77777777" w:rsidR="00B830CA" w:rsidRPr="00DC1C30" w:rsidRDefault="00B830CA" w:rsidP="00673D03">
            <w:pPr>
              <w:jc w:val="center"/>
              <w:rPr>
                <w:sz w:val="22"/>
                <w:szCs w:val="22"/>
              </w:rPr>
            </w:pPr>
            <w:r w:rsidRPr="00DC1C30">
              <w:rPr>
                <w:sz w:val="22"/>
                <w:szCs w:val="22"/>
              </w:rPr>
              <w:t xml:space="preserve">1.02 </w:t>
            </w:r>
          </w:p>
          <w:p w14:paraId="4B96B445" w14:textId="77777777" w:rsidR="00B830CA" w:rsidRPr="00DC1C30" w:rsidRDefault="00B830CA" w:rsidP="00673D03">
            <w:pPr>
              <w:jc w:val="center"/>
              <w:rPr>
                <w:sz w:val="22"/>
                <w:szCs w:val="22"/>
              </w:rPr>
            </w:pPr>
            <w:r w:rsidRPr="00DC1C30">
              <w:rPr>
                <w:sz w:val="22"/>
                <w:szCs w:val="22"/>
              </w:rPr>
              <w:t>(.89)</w:t>
            </w:r>
          </w:p>
        </w:tc>
        <w:tc>
          <w:tcPr>
            <w:tcW w:w="990" w:type="dxa"/>
          </w:tcPr>
          <w:p w14:paraId="6F8EA6D0" w14:textId="77777777" w:rsidR="00B830CA" w:rsidRPr="00DC1C30" w:rsidRDefault="00B830CA" w:rsidP="00673D03">
            <w:pPr>
              <w:jc w:val="center"/>
              <w:rPr>
                <w:sz w:val="22"/>
                <w:szCs w:val="22"/>
              </w:rPr>
            </w:pPr>
            <w:r w:rsidRPr="00DC1C30">
              <w:rPr>
                <w:sz w:val="22"/>
                <w:szCs w:val="22"/>
              </w:rPr>
              <w:t>1.19 (.85)</w:t>
            </w:r>
          </w:p>
        </w:tc>
        <w:tc>
          <w:tcPr>
            <w:tcW w:w="900" w:type="dxa"/>
          </w:tcPr>
          <w:p w14:paraId="4EA25B0B" w14:textId="77777777" w:rsidR="00B830CA" w:rsidRPr="00DC1C30" w:rsidRDefault="00B830CA" w:rsidP="00673D03">
            <w:pPr>
              <w:jc w:val="center"/>
              <w:rPr>
                <w:sz w:val="22"/>
                <w:szCs w:val="22"/>
              </w:rPr>
            </w:pPr>
            <w:r w:rsidRPr="00DC1C30">
              <w:rPr>
                <w:sz w:val="22"/>
                <w:szCs w:val="22"/>
              </w:rPr>
              <w:t>1.82†</w:t>
            </w:r>
          </w:p>
        </w:tc>
        <w:tc>
          <w:tcPr>
            <w:tcW w:w="900" w:type="dxa"/>
          </w:tcPr>
          <w:p w14:paraId="458B9AF9" w14:textId="77777777" w:rsidR="00B830CA" w:rsidRPr="00DC1C30" w:rsidRDefault="00B830CA" w:rsidP="00673D03">
            <w:pPr>
              <w:jc w:val="center"/>
              <w:rPr>
                <w:sz w:val="22"/>
                <w:szCs w:val="22"/>
              </w:rPr>
            </w:pPr>
            <w:r w:rsidRPr="00DC1C30">
              <w:rPr>
                <w:sz w:val="22"/>
                <w:szCs w:val="22"/>
              </w:rPr>
              <w:t>1.23 (.85)</w:t>
            </w:r>
          </w:p>
        </w:tc>
        <w:tc>
          <w:tcPr>
            <w:tcW w:w="990" w:type="dxa"/>
          </w:tcPr>
          <w:p w14:paraId="17C52477" w14:textId="77777777" w:rsidR="00B830CA" w:rsidRPr="00DC1C30" w:rsidRDefault="00B830CA" w:rsidP="00673D03">
            <w:pPr>
              <w:jc w:val="center"/>
              <w:rPr>
                <w:sz w:val="22"/>
                <w:szCs w:val="22"/>
              </w:rPr>
            </w:pPr>
            <w:r w:rsidRPr="00DC1C30">
              <w:rPr>
                <w:sz w:val="22"/>
                <w:szCs w:val="22"/>
              </w:rPr>
              <w:t>1.38 (.89)</w:t>
            </w:r>
          </w:p>
        </w:tc>
        <w:tc>
          <w:tcPr>
            <w:tcW w:w="810" w:type="dxa"/>
          </w:tcPr>
          <w:p w14:paraId="0114B330" w14:textId="77777777" w:rsidR="00B830CA" w:rsidRPr="00DC1C30" w:rsidRDefault="00B830CA" w:rsidP="00673D03">
            <w:pPr>
              <w:jc w:val="center"/>
              <w:rPr>
                <w:sz w:val="22"/>
                <w:szCs w:val="22"/>
              </w:rPr>
            </w:pPr>
            <w:r w:rsidRPr="00DC1C30">
              <w:rPr>
                <w:sz w:val="22"/>
                <w:szCs w:val="22"/>
              </w:rPr>
              <w:t>1.43</w:t>
            </w:r>
          </w:p>
        </w:tc>
      </w:tr>
      <w:tr w:rsidR="00B830CA" w:rsidRPr="00DC1C30" w14:paraId="094ADCF3" w14:textId="77777777" w:rsidTr="001611C8">
        <w:tc>
          <w:tcPr>
            <w:tcW w:w="1623" w:type="dxa"/>
          </w:tcPr>
          <w:p w14:paraId="15444F31" w14:textId="77777777" w:rsidR="00B830CA" w:rsidRPr="00DC1C30" w:rsidRDefault="00B830CA" w:rsidP="00673D03">
            <w:pPr>
              <w:rPr>
                <w:sz w:val="22"/>
                <w:szCs w:val="22"/>
              </w:rPr>
            </w:pPr>
            <w:r w:rsidRPr="00DC1C30">
              <w:rPr>
                <w:sz w:val="22"/>
                <w:szCs w:val="22"/>
              </w:rPr>
              <w:t>Trans fat (g) per serving</w:t>
            </w:r>
          </w:p>
        </w:tc>
        <w:tc>
          <w:tcPr>
            <w:tcW w:w="987" w:type="dxa"/>
          </w:tcPr>
          <w:p w14:paraId="789EBB77" w14:textId="77777777" w:rsidR="00B830CA" w:rsidRPr="00DC1C30" w:rsidRDefault="00B830CA" w:rsidP="00673D03">
            <w:pPr>
              <w:jc w:val="center"/>
              <w:rPr>
                <w:sz w:val="22"/>
                <w:szCs w:val="22"/>
              </w:rPr>
            </w:pPr>
            <w:r w:rsidRPr="00DC1C30">
              <w:rPr>
                <w:sz w:val="22"/>
                <w:szCs w:val="22"/>
              </w:rPr>
              <w:t xml:space="preserve">.02 </w:t>
            </w:r>
          </w:p>
          <w:p w14:paraId="7C8AB050" w14:textId="77777777" w:rsidR="00B830CA" w:rsidRPr="00DC1C30" w:rsidRDefault="00B830CA" w:rsidP="00673D03">
            <w:pPr>
              <w:jc w:val="center"/>
              <w:rPr>
                <w:sz w:val="22"/>
                <w:szCs w:val="22"/>
              </w:rPr>
            </w:pPr>
            <w:r w:rsidRPr="00DC1C30">
              <w:rPr>
                <w:sz w:val="22"/>
                <w:szCs w:val="22"/>
              </w:rPr>
              <w:t>(.06)</w:t>
            </w:r>
          </w:p>
        </w:tc>
        <w:tc>
          <w:tcPr>
            <w:tcW w:w="990" w:type="dxa"/>
          </w:tcPr>
          <w:p w14:paraId="6F9ADAD4" w14:textId="77777777" w:rsidR="00B830CA" w:rsidRPr="00DC1C30" w:rsidRDefault="00B830CA" w:rsidP="00673D03">
            <w:pPr>
              <w:jc w:val="center"/>
              <w:rPr>
                <w:sz w:val="22"/>
                <w:szCs w:val="22"/>
              </w:rPr>
            </w:pPr>
            <w:r w:rsidRPr="00DC1C30">
              <w:rPr>
                <w:sz w:val="22"/>
                <w:szCs w:val="22"/>
              </w:rPr>
              <w:t xml:space="preserve">.01 </w:t>
            </w:r>
          </w:p>
          <w:p w14:paraId="22C9FB44" w14:textId="77777777" w:rsidR="00B830CA" w:rsidRPr="00DC1C30" w:rsidRDefault="00B830CA" w:rsidP="00673D03">
            <w:pPr>
              <w:jc w:val="center"/>
              <w:rPr>
                <w:sz w:val="22"/>
                <w:szCs w:val="22"/>
              </w:rPr>
            </w:pPr>
            <w:r w:rsidRPr="00DC1C30">
              <w:rPr>
                <w:sz w:val="22"/>
                <w:szCs w:val="22"/>
              </w:rPr>
              <w:t>(.03)</w:t>
            </w:r>
          </w:p>
        </w:tc>
        <w:tc>
          <w:tcPr>
            <w:tcW w:w="720" w:type="dxa"/>
          </w:tcPr>
          <w:p w14:paraId="39B92A1C" w14:textId="77777777" w:rsidR="00B830CA" w:rsidRPr="00DC1C30" w:rsidRDefault="00B830CA" w:rsidP="00673D03">
            <w:pPr>
              <w:jc w:val="center"/>
              <w:rPr>
                <w:sz w:val="22"/>
                <w:szCs w:val="22"/>
              </w:rPr>
            </w:pPr>
            <w:r w:rsidRPr="00DC1C30">
              <w:rPr>
                <w:sz w:val="22"/>
                <w:szCs w:val="22"/>
              </w:rPr>
              <w:t>1.65</w:t>
            </w:r>
          </w:p>
        </w:tc>
        <w:tc>
          <w:tcPr>
            <w:tcW w:w="990" w:type="dxa"/>
          </w:tcPr>
          <w:p w14:paraId="0F9135D0" w14:textId="77777777" w:rsidR="00B830CA" w:rsidRPr="00DC1C30" w:rsidRDefault="00B830CA" w:rsidP="00673D03">
            <w:pPr>
              <w:jc w:val="center"/>
              <w:rPr>
                <w:sz w:val="22"/>
                <w:szCs w:val="22"/>
              </w:rPr>
            </w:pPr>
            <w:r w:rsidRPr="00DC1C30">
              <w:rPr>
                <w:sz w:val="22"/>
                <w:szCs w:val="22"/>
              </w:rPr>
              <w:t xml:space="preserve">.005 </w:t>
            </w:r>
          </w:p>
          <w:p w14:paraId="50CA2489" w14:textId="77777777" w:rsidR="00B830CA" w:rsidRPr="00DC1C30" w:rsidRDefault="00B830CA" w:rsidP="00673D03">
            <w:pPr>
              <w:jc w:val="center"/>
              <w:rPr>
                <w:sz w:val="22"/>
                <w:szCs w:val="22"/>
              </w:rPr>
            </w:pPr>
            <w:r w:rsidRPr="00DC1C30">
              <w:rPr>
                <w:sz w:val="22"/>
                <w:szCs w:val="22"/>
              </w:rPr>
              <w:t>(.017)</w:t>
            </w:r>
          </w:p>
        </w:tc>
        <w:tc>
          <w:tcPr>
            <w:tcW w:w="990" w:type="dxa"/>
          </w:tcPr>
          <w:p w14:paraId="75E8698B" w14:textId="77777777" w:rsidR="00B830CA" w:rsidRPr="00DC1C30" w:rsidRDefault="00B830CA" w:rsidP="00673D03">
            <w:pPr>
              <w:jc w:val="center"/>
              <w:rPr>
                <w:sz w:val="22"/>
                <w:szCs w:val="22"/>
              </w:rPr>
            </w:pPr>
            <w:r w:rsidRPr="00DC1C30">
              <w:rPr>
                <w:sz w:val="22"/>
                <w:szCs w:val="22"/>
              </w:rPr>
              <w:t>.015 (.061)</w:t>
            </w:r>
          </w:p>
        </w:tc>
        <w:tc>
          <w:tcPr>
            <w:tcW w:w="900" w:type="dxa"/>
          </w:tcPr>
          <w:p w14:paraId="7025E82A" w14:textId="77777777" w:rsidR="00B830CA" w:rsidRPr="00DC1C30" w:rsidRDefault="00B830CA" w:rsidP="00673D03">
            <w:pPr>
              <w:jc w:val="center"/>
              <w:rPr>
                <w:sz w:val="22"/>
                <w:szCs w:val="22"/>
              </w:rPr>
            </w:pPr>
            <w:r w:rsidRPr="00DC1C30">
              <w:rPr>
                <w:sz w:val="22"/>
                <w:szCs w:val="22"/>
              </w:rPr>
              <w:t>2.18*</w:t>
            </w:r>
          </w:p>
        </w:tc>
        <w:tc>
          <w:tcPr>
            <w:tcW w:w="900" w:type="dxa"/>
          </w:tcPr>
          <w:p w14:paraId="79487808" w14:textId="77777777" w:rsidR="00B830CA" w:rsidRPr="00DC1C30" w:rsidRDefault="00B830CA" w:rsidP="00673D03">
            <w:pPr>
              <w:jc w:val="center"/>
              <w:rPr>
                <w:sz w:val="22"/>
                <w:szCs w:val="22"/>
              </w:rPr>
            </w:pPr>
            <w:r w:rsidRPr="00DC1C30">
              <w:rPr>
                <w:sz w:val="22"/>
                <w:szCs w:val="22"/>
              </w:rPr>
              <w:t>.01 (.02)</w:t>
            </w:r>
          </w:p>
        </w:tc>
        <w:tc>
          <w:tcPr>
            <w:tcW w:w="990" w:type="dxa"/>
          </w:tcPr>
          <w:p w14:paraId="6C31D6F2" w14:textId="77777777" w:rsidR="00B830CA" w:rsidRDefault="00B830CA" w:rsidP="00673D03">
            <w:pPr>
              <w:jc w:val="center"/>
              <w:rPr>
                <w:sz w:val="22"/>
                <w:szCs w:val="22"/>
              </w:rPr>
            </w:pPr>
            <w:r w:rsidRPr="00DC1C30">
              <w:rPr>
                <w:sz w:val="22"/>
                <w:szCs w:val="22"/>
              </w:rPr>
              <w:t xml:space="preserve">.02 </w:t>
            </w:r>
          </w:p>
          <w:p w14:paraId="4F0FEE7C" w14:textId="77777777" w:rsidR="00B830CA" w:rsidRPr="00DC1C30" w:rsidRDefault="00B830CA" w:rsidP="00673D03">
            <w:pPr>
              <w:jc w:val="center"/>
              <w:rPr>
                <w:sz w:val="22"/>
                <w:szCs w:val="22"/>
              </w:rPr>
            </w:pPr>
            <w:r w:rsidRPr="00DC1C30">
              <w:rPr>
                <w:sz w:val="22"/>
                <w:szCs w:val="22"/>
              </w:rPr>
              <w:t>(.05)</w:t>
            </w:r>
          </w:p>
        </w:tc>
        <w:tc>
          <w:tcPr>
            <w:tcW w:w="810" w:type="dxa"/>
          </w:tcPr>
          <w:p w14:paraId="313CEC88" w14:textId="77777777" w:rsidR="00B830CA" w:rsidRPr="00DC1C30" w:rsidRDefault="00B830CA" w:rsidP="00673D03">
            <w:pPr>
              <w:jc w:val="center"/>
              <w:rPr>
                <w:sz w:val="22"/>
                <w:szCs w:val="22"/>
              </w:rPr>
            </w:pPr>
            <w:r w:rsidRPr="00DC1C30">
              <w:rPr>
                <w:sz w:val="22"/>
                <w:szCs w:val="22"/>
              </w:rPr>
              <w:t>2.24*</w:t>
            </w:r>
          </w:p>
        </w:tc>
      </w:tr>
      <w:tr w:rsidR="00B830CA" w:rsidRPr="00DC1C30" w14:paraId="18D829B0" w14:textId="77777777" w:rsidTr="001611C8">
        <w:tc>
          <w:tcPr>
            <w:tcW w:w="1623" w:type="dxa"/>
          </w:tcPr>
          <w:p w14:paraId="180B0AF4" w14:textId="77777777" w:rsidR="00B830CA" w:rsidRPr="00DC1C30" w:rsidRDefault="00B830CA" w:rsidP="00673D03">
            <w:pPr>
              <w:rPr>
                <w:sz w:val="22"/>
                <w:szCs w:val="22"/>
              </w:rPr>
            </w:pPr>
            <w:r w:rsidRPr="00DC1C30">
              <w:rPr>
                <w:sz w:val="22"/>
                <w:szCs w:val="22"/>
              </w:rPr>
              <w:t>Cholesterol (mg) per serving</w:t>
            </w:r>
          </w:p>
        </w:tc>
        <w:tc>
          <w:tcPr>
            <w:tcW w:w="987" w:type="dxa"/>
          </w:tcPr>
          <w:p w14:paraId="7AB000B6" w14:textId="77777777" w:rsidR="00B830CA" w:rsidRPr="00DC1C30" w:rsidRDefault="00B830CA" w:rsidP="00673D03">
            <w:pPr>
              <w:jc w:val="center"/>
              <w:rPr>
                <w:sz w:val="22"/>
                <w:szCs w:val="22"/>
              </w:rPr>
            </w:pPr>
            <w:r w:rsidRPr="00DC1C30">
              <w:rPr>
                <w:sz w:val="22"/>
                <w:szCs w:val="22"/>
              </w:rPr>
              <w:t xml:space="preserve">12.73 </w:t>
            </w:r>
          </w:p>
          <w:p w14:paraId="4D1850A9" w14:textId="77777777" w:rsidR="00B830CA" w:rsidRPr="00DC1C30" w:rsidRDefault="00B830CA" w:rsidP="00673D03">
            <w:pPr>
              <w:jc w:val="center"/>
              <w:rPr>
                <w:sz w:val="22"/>
                <w:szCs w:val="22"/>
              </w:rPr>
            </w:pPr>
            <w:r w:rsidRPr="00DC1C30">
              <w:rPr>
                <w:sz w:val="22"/>
                <w:szCs w:val="22"/>
              </w:rPr>
              <w:t>(11.83)</w:t>
            </w:r>
          </w:p>
        </w:tc>
        <w:tc>
          <w:tcPr>
            <w:tcW w:w="990" w:type="dxa"/>
          </w:tcPr>
          <w:p w14:paraId="38DB37B1" w14:textId="77777777" w:rsidR="00B830CA" w:rsidRPr="00DC1C30" w:rsidRDefault="00B830CA" w:rsidP="00673D03">
            <w:pPr>
              <w:jc w:val="center"/>
              <w:rPr>
                <w:sz w:val="22"/>
                <w:szCs w:val="22"/>
              </w:rPr>
            </w:pPr>
            <w:r w:rsidRPr="00DC1C30">
              <w:rPr>
                <w:sz w:val="22"/>
                <w:szCs w:val="22"/>
              </w:rPr>
              <w:t xml:space="preserve">12.70 </w:t>
            </w:r>
          </w:p>
          <w:p w14:paraId="4CF4420A" w14:textId="77777777" w:rsidR="00B830CA" w:rsidRPr="00DC1C30" w:rsidRDefault="00B830CA" w:rsidP="00673D03">
            <w:pPr>
              <w:jc w:val="center"/>
              <w:rPr>
                <w:sz w:val="22"/>
                <w:szCs w:val="22"/>
              </w:rPr>
            </w:pPr>
            <w:r w:rsidRPr="00DC1C30">
              <w:rPr>
                <w:sz w:val="22"/>
                <w:szCs w:val="22"/>
              </w:rPr>
              <w:t>(12.33)</w:t>
            </w:r>
          </w:p>
        </w:tc>
        <w:tc>
          <w:tcPr>
            <w:tcW w:w="720" w:type="dxa"/>
          </w:tcPr>
          <w:p w14:paraId="51965113" w14:textId="77777777" w:rsidR="00B830CA" w:rsidRPr="00DC1C30" w:rsidRDefault="00B830CA" w:rsidP="00673D03">
            <w:pPr>
              <w:jc w:val="center"/>
              <w:rPr>
                <w:sz w:val="22"/>
                <w:szCs w:val="22"/>
              </w:rPr>
            </w:pPr>
            <w:r w:rsidRPr="00DC1C30">
              <w:rPr>
                <w:sz w:val="22"/>
                <w:szCs w:val="22"/>
              </w:rPr>
              <w:t>.25</w:t>
            </w:r>
          </w:p>
        </w:tc>
        <w:tc>
          <w:tcPr>
            <w:tcW w:w="990" w:type="dxa"/>
          </w:tcPr>
          <w:p w14:paraId="0EB11EC5" w14:textId="77777777" w:rsidR="00B830CA" w:rsidRPr="00DC1C30" w:rsidRDefault="00B830CA" w:rsidP="00673D03">
            <w:pPr>
              <w:jc w:val="center"/>
              <w:rPr>
                <w:sz w:val="22"/>
                <w:szCs w:val="22"/>
              </w:rPr>
            </w:pPr>
            <w:r w:rsidRPr="00DC1C30">
              <w:rPr>
                <w:sz w:val="22"/>
                <w:szCs w:val="22"/>
              </w:rPr>
              <w:t>12.17 (11.33)</w:t>
            </w:r>
          </w:p>
        </w:tc>
        <w:tc>
          <w:tcPr>
            <w:tcW w:w="990" w:type="dxa"/>
          </w:tcPr>
          <w:p w14:paraId="3BF62F61" w14:textId="77777777" w:rsidR="00B830CA" w:rsidRPr="00DC1C30" w:rsidRDefault="00B830CA" w:rsidP="00673D03">
            <w:pPr>
              <w:jc w:val="center"/>
              <w:rPr>
                <w:sz w:val="22"/>
                <w:szCs w:val="22"/>
              </w:rPr>
            </w:pPr>
            <w:r w:rsidRPr="00DC1C30">
              <w:rPr>
                <w:sz w:val="22"/>
                <w:szCs w:val="22"/>
              </w:rPr>
              <w:t>15.36 (21.22)</w:t>
            </w:r>
          </w:p>
        </w:tc>
        <w:tc>
          <w:tcPr>
            <w:tcW w:w="900" w:type="dxa"/>
          </w:tcPr>
          <w:p w14:paraId="6E845E79" w14:textId="77777777" w:rsidR="00B830CA" w:rsidRPr="00DC1C30" w:rsidRDefault="00B830CA" w:rsidP="00673D03">
            <w:pPr>
              <w:jc w:val="center"/>
              <w:rPr>
                <w:sz w:val="22"/>
                <w:szCs w:val="22"/>
              </w:rPr>
            </w:pPr>
            <w:r w:rsidRPr="00DC1C30">
              <w:rPr>
                <w:sz w:val="22"/>
                <w:szCs w:val="22"/>
              </w:rPr>
              <w:t>1.79†</w:t>
            </w:r>
          </w:p>
        </w:tc>
        <w:tc>
          <w:tcPr>
            <w:tcW w:w="900" w:type="dxa"/>
          </w:tcPr>
          <w:p w14:paraId="672937AC" w14:textId="77777777" w:rsidR="00B830CA" w:rsidRPr="00DC1C30" w:rsidRDefault="00B830CA" w:rsidP="00673D03">
            <w:pPr>
              <w:jc w:val="center"/>
              <w:rPr>
                <w:sz w:val="22"/>
                <w:szCs w:val="22"/>
              </w:rPr>
            </w:pPr>
            <w:r w:rsidRPr="00DC1C30">
              <w:rPr>
                <w:sz w:val="22"/>
                <w:szCs w:val="22"/>
              </w:rPr>
              <w:t>15.69 (14.74)</w:t>
            </w:r>
          </w:p>
        </w:tc>
        <w:tc>
          <w:tcPr>
            <w:tcW w:w="990" w:type="dxa"/>
          </w:tcPr>
          <w:p w14:paraId="3349BB18" w14:textId="77777777" w:rsidR="00B830CA" w:rsidRPr="00DC1C30" w:rsidRDefault="00B830CA" w:rsidP="00673D03">
            <w:pPr>
              <w:jc w:val="center"/>
              <w:rPr>
                <w:sz w:val="22"/>
                <w:szCs w:val="22"/>
              </w:rPr>
            </w:pPr>
            <w:r w:rsidRPr="00DC1C30">
              <w:rPr>
                <w:sz w:val="22"/>
                <w:szCs w:val="22"/>
              </w:rPr>
              <w:t>13.42 (10.30)</w:t>
            </w:r>
          </w:p>
        </w:tc>
        <w:tc>
          <w:tcPr>
            <w:tcW w:w="810" w:type="dxa"/>
          </w:tcPr>
          <w:p w14:paraId="2E9B59FE" w14:textId="77777777" w:rsidR="00B830CA" w:rsidRPr="00DC1C30" w:rsidRDefault="00B830CA" w:rsidP="00673D03">
            <w:pPr>
              <w:jc w:val="center"/>
              <w:rPr>
                <w:sz w:val="22"/>
                <w:szCs w:val="22"/>
              </w:rPr>
            </w:pPr>
            <w:r w:rsidRPr="00DC1C30">
              <w:rPr>
                <w:sz w:val="22"/>
                <w:szCs w:val="22"/>
              </w:rPr>
              <w:t>1.49</w:t>
            </w:r>
          </w:p>
        </w:tc>
      </w:tr>
      <w:tr w:rsidR="00B830CA" w:rsidRPr="00DC1C30" w14:paraId="305E53EF" w14:textId="77777777" w:rsidTr="001611C8">
        <w:tc>
          <w:tcPr>
            <w:tcW w:w="1623" w:type="dxa"/>
          </w:tcPr>
          <w:p w14:paraId="37C3F232" w14:textId="77777777" w:rsidR="00B830CA" w:rsidRPr="00DC1C30" w:rsidRDefault="00B830CA" w:rsidP="00673D03">
            <w:pPr>
              <w:rPr>
                <w:sz w:val="22"/>
                <w:szCs w:val="22"/>
              </w:rPr>
            </w:pPr>
            <w:r w:rsidRPr="00DC1C30">
              <w:rPr>
                <w:sz w:val="22"/>
                <w:szCs w:val="22"/>
              </w:rPr>
              <w:t>Sodium</w:t>
            </w:r>
            <w:r>
              <w:rPr>
                <w:sz w:val="22"/>
                <w:szCs w:val="22"/>
              </w:rPr>
              <w:t xml:space="preserve"> (mg)</w:t>
            </w:r>
            <w:r w:rsidRPr="00DC1C30">
              <w:rPr>
                <w:sz w:val="22"/>
                <w:szCs w:val="22"/>
              </w:rPr>
              <w:t xml:space="preserve"> per serving</w:t>
            </w:r>
          </w:p>
        </w:tc>
        <w:tc>
          <w:tcPr>
            <w:tcW w:w="987" w:type="dxa"/>
          </w:tcPr>
          <w:p w14:paraId="732F36E9" w14:textId="77777777" w:rsidR="00B830CA" w:rsidRPr="00DC1C30" w:rsidRDefault="00B830CA" w:rsidP="00673D03">
            <w:pPr>
              <w:jc w:val="center"/>
              <w:rPr>
                <w:sz w:val="22"/>
                <w:szCs w:val="22"/>
              </w:rPr>
            </w:pPr>
            <w:r w:rsidRPr="00DC1C30">
              <w:rPr>
                <w:sz w:val="22"/>
                <w:szCs w:val="22"/>
              </w:rPr>
              <w:t xml:space="preserve">133.34 </w:t>
            </w:r>
          </w:p>
          <w:p w14:paraId="755A852C" w14:textId="77777777" w:rsidR="00B830CA" w:rsidRPr="00DC1C30" w:rsidRDefault="00B830CA" w:rsidP="00673D03">
            <w:pPr>
              <w:jc w:val="center"/>
              <w:rPr>
                <w:sz w:val="22"/>
                <w:szCs w:val="22"/>
              </w:rPr>
            </w:pPr>
            <w:r w:rsidRPr="00DC1C30">
              <w:rPr>
                <w:sz w:val="22"/>
                <w:szCs w:val="22"/>
              </w:rPr>
              <w:t>(104.90)</w:t>
            </w:r>
          </w:p>
        </w:tc>
        <w:tc>
          <w:tcPr>
            <w:tcW w:w="990" w:type="dxa"/>
          </w:tcPr>
          <w:p w14:paraId="2CB3E4FE" w14:textId="77777777" w:rsidR="00B830CA" w:rsidRPr="00DC1C30" w:rsidRDefault="00B830CA" w:rsidP="00673D03">
            <w:pPr>
              <w:jc w:val="center"/>
              <w:rPr>
                <w:sz w:val="22"/>
                <w:szCs w:val="22"/>
              </w:rPr>
            </w:pPr>
            <w:r w:rsidRPr="00DC1C30">
              <w:rPr>
                <w:sz w:val="22"/>
                <w:szCs w:val="22"/>
              </w:rPr>
              <w:t>139.75 (108.57)</w:t>
            </w:r>
          </w:p>
        </w:tc>
        <w:tc>
          <w:tcPr>
            <w:tcW w:w="720" w:type="dxa"/>
          </w:tcPr>
          <w:p w14:paraId="0C64AF6E" w14:textId="77777777" w:rsidR="00B830CA" w:rsidRPr="00DC1C30" w:rsidRDefault="00B830CA" w:rsidP="00673D03">
            <w:pPr>
              <w:jc w:val="center"/>
              <w:rPr>
                <w:sz w:val="22"/>
                <w:szCs w:val="22"/>
              </w:rPr>
            </w:pPr>
            <w:r w:rsidRPr="00DC1C30">
              <w:rPr>
                <w:sz w:val="22"/>
                <w:szCs w:val="22"/>
              </w:rPr>
              <w:t>.60</w:t>
            </w:r>
          </w:p>
        </w:tc>
        <w:tc>
          <w:tcPr>
            <w:tcW w:w="990" w:type="dxa"/>
          </w:tcPr>
          <w:p w14:paraId="0DAAC98F" w14:textId="77777777" w:rsidR="00B830CA" w:rsidRPr="00DC1C30" w:rsidRDefault="00B830CA" w:rsidP="00673D03">
            <w:pPr>
              <w:jc w:val="center"/>
              <w:rPr>
                <w:sz w:val="22"/>
                <w:szCs w:val="22"/>
              </w:rPr>
            </w:pPr>
            <w:r w:rsidRPr="00DC1C30">
              <w:rPr>
                <w:sz w:val="22"/>
                <w:szCs w:val="22"/>
              </w:rPr>
              <w:t>124.50 (93.15)</w:t>
            </w:r>
          </w:p>
        </w:tc>
        <w:tc>
          <w:tcPr>
            <w:tcW w:w="990" w:type="dxa"/>
          </w:tcPr>
          <w:p w14:paraId="6C032812" w14:textId="77777777" w:rsidR="00B830CA" w:rsidRPr="00DC1C30" w:rsidRDefault="00B830CA" w:rsidP="00673D03">
            <w:pPr>
              <w:jc w:val="center"/>
              <w:rPr>
                <w:sz w:val="22"/>
                <w:szCs w:val="22"/>
              </w:rPr>
            </w:pPr>
            <w:r w:rsidRPr="00DC1C30">
              <w:rPr>
                <w:sz w:val="22"/>
                <w:szCs w:val="22"/>
              </w:rPr>
              <w:t>144.35 (110.31)</w:t>
            </w:r>
          </w:p>
        </w:tc>
        <w:tc>
          <w:tcPr>
            <w:tcW w:w="900" w:type="dxa"/>
          </w:tcPr>
          <w:p w14:paraId="5025326C" w14:textId="77777777" w:rsidR="00B830CA" w:rsidRPr="00DC1C30" w:rsidRDefault="00B830CA" w:rsidP="00673D03">
            <w:pPr>
              <w:jc w:val="center"/>
              <w:rPr>
                <w:sz w:val="22"/>
                <w:szCs w:val="22"/>
              </w:rPr>
            </w:pPr>
            <w:r w:rsidRPr="00DC1C30">
              <w:rPr>
                <w:sz w:val="22"/>
                <w:szCs w:val="22"/>
              </w:rPr>
              <w:t>1.85†</w:t>
            </w:r>
          </w:p>
        </w:tc>
        <w:tc>
          <w:tcPr>
            <w:tcW w:w="900" w:type="dxa"/>
          </w:tcPr>
          <w:p w14:paraId="3E0C4B0D" w14:textId="77777777" w:rsidR="00B830CA" w:rsidRPr="00DC1C30" w:rsidRDefault="00B830CA" w:rsidP="00673D03">
            <w:pPr>
              <w:jc w:val="center"/>
              <w:rPr>
                <w:sz w:val="22"/>
                <w:szCs w:val="22"/>
              </w:rPr>
            </w:pPr>
            <w:r w:rsidRPr="00DC1C30">
              <w:rPr>
                <w:sz w:val="22"/>
                <w:szCs w:val="22"/>
              </w:rPr>
              <w:t>144.15 (94.10)</w:t>
            </w:r>
          </w:p>
        </w:tc>
        <w:tc>
          <w:tcPr>
            <w:tcW w:w="990" w:type="dxa"/>
          </w:tcPr>
          <w:p w14:paraId="78A80830" w14:textId="77777777" w:rsidR="00B830CA" w:rsidRPr="00DC1C30" w:rsidRDefault="00B830CA" w:rsidP="00673D03">
            <w:pPr>
              <w:jc w:val="center"/>
              <w:rPr>
                <w:sz w:val="22"/>
                <w:szCs w:val="22"/>
              </w:rPr>
            </w:pPr>
            <w:r w:rsidRPr="00DC1C30">
              <w:rPr>
                <w:sz w:val="22"/>
                <w:szCs w:val="22"/>
              </w:rPr>
              <w:t>164.50 (107.23)</w:t>
            </w:r>
          </w:p>
        </w:tc>
        <w:tc>
          <w:tcPr>
            <w:tcW w:w="810" w:type="dxa"/>
          </w:tcPr>
          <w:p w14:paraId="614F0ACD" w14:textId="77777777" w:rsidR="00B830CA" w:rsidRPr="00DC1C30" w:rsidRDefault="00B830CA" w:rsidP="00673D03">
            <w:pPr>
              <w:jc w:val="center"/>
              <w:rPr>
                <w:sz w:val="22"/>
                <w:szCs w:val="22"/>
              </w:rPr>
            </w:pPr>
            <w:r w:rsidRPr="00DC1C30">
              <w:rPr>
                <w:sz w:val="22"/>
                <w:szCs w:val="22"/>
              </w:rPr>
              <w:t>1.69†</w:t>
            </w:r>
          </w:p>
        </w:tc>
      </w:tr>
      <w:tr w:rsidR="00B830CA" w:rsidRPr="00DC1C30" w14:paraId="71F6805D" w14:textId="77777777" w:rsidTr="001611C8">
        <w:tc>
          <w:tcPr>
            <w:tcW w:w="1623" w:type="dxa"/>
          </w:tcPr>
          <w:p w14:paraId="2DC6BC29" w14:textId="77777777" w:rsidR="00B830CA" w:rsidRPr="00DC1C30" w:rsidRDefault="00B830CA" w:rsidP="00673D03">
            <w:pPr>
              <w:rPr>
                <w:sz w:val="22"/>
                <w:szCs w:val="22"/>
              </w:rPr>
            </w:pPr>
            <w:r w:rsidRPr="00DC1C30">
              <w:rPr>
                <w:sz w:val="22"/>
                <w:szCs w:val="22"/>
              </w:rPr>
              <w:t>Carbohydrates (g) per serving</w:t>
            </w:r>
          </w:p>
        </w:tc>
        <w:tc>
          <w:tcPr>
            <w:tcW w:w="987" w:type="dxa"/>
          </w:tcPr>
          <w:p w14:paraId="3C2D3D8C" w14:textId="77777777" w:rsidR="00B830CA" w:rsidRPr="00DC1C30" w:rsidRDefault="00B830CA" w:rsidP="00673D03">
            <w:pPr>
              <w:jc w:val="center"/>
              <w:rPr>
                <w:sz w:val="22"/>
                <w:szCs w:val="22"/>
              </w:rPr>
            </w:pPr>
            <w:r w:rsidRPr="00DC1C30">
              <w:rPr>
                <w:sz w:val="22"/>
                <w:szCs w:val="22"/>
              </w:rPr>
              <w:t xml:space="preserve">20.47 </w:t>
            </w:r>
          </w:p>
          <w:p w14:paraId="2E9EF6BB" w14:textId="77777777" w:rsidR="00B830CA" w:rsidRPr="00DC1C30" w:rsidRDefault="00B830CA" w:rsidP="00673D03">
            <w:pPr>
              <w:jc w:val="center"/>
              <w:rPr>
                <w:sz w:val="22"/>
                <w:szCs w:val="22"/>
              </w:rPr>
            </w:pPr>
            <w:r w:rsidRPr="00DC1C30">
              <w:rPr>
                <w:sz w:val="22"/>
                <w:szCs w:val="22"/>
              </w:rPr>
              <w:t>(12.67)</w:t>
            </w:r>
          </w:p>
        </w:tc>
        <w:tc>
          <w:tcPr>
            <w:tcW w:w="990" w:type="dxa"/>
          </w:tcPr>
          <w:p w14:paraId="236C39BB" w14:textId="77777777" w:rsidR="00B830CA" w:rsidRPr="00DC1C30" w:rsidRDefault="00B830CA" w:rsidP="00673D03">
            <w:pPr>
              <w:jc w:val="center"/>
              <w:rPr>
                <w:sz w:val="22"/>
                <w:szCs w:val="22"/>
              </w:rPr>
            </w:pPr>
            <w:r w:rsidRPr="00DC1C30">
              <w:rPr>
                <w:sz w:val="22"/>
                <w:szCs w:val="22"/>
              </w:rPr>
              <w:t xml:space="preserve">20.07 </w:t>
            </w:r>
          </w:p>
          <w:p w14:paraId="09EF6D97" w14:textId="77777777" w:rsidR="00B830CA" w:rsidRPr="00DC1C30" w:rsidRDefault="00B830CA" w:rsidP="00673D03">
            <w:pPr>
              <w:jc w:val="center"/>
              <w:rPr>
                <w:sz w:val="22"/>
                <w:szCs w:val="22"/>
              </w:rPr>
            </w:pPr>
            <w:r w:rsidRPr="00DC1C30">
              <w:rPr>
                <w:sz w:val="22"/>
                <w:szCs w:val="22"/>
              </w:rPr>
              <w:t>(11.12)</w:t>
            </w:r>
          </w:p>
        </w:tc>
        <w:tc>
          <w:tcPr>
            <w:tcW w:w="720" w:type="dxa"/>
          </w:tcPr>
          <w:p w14:paraId="414BE53D" w14:textId="77777777" w:rsidR="00B830CA" w:rsidRPr="00DC1C30" w:rsidRDefault="00B830CA" w:rsidP="00673D03">
            <w:pPr>
              <w:jc w:val="center"/>
              <w:rPr>
                <w:sz w:val="22"/>
                <w:szCs w:val="22"/>
              </w:rPr>
            </w:pPr>
            <w:r w:rsidRPr="00DC1C30">
              <w:rPr>
                <w:sz w:val="22"/>
                <w:szCs w:val="22"/>
              </w:rPr>
              <w:t>.33</w:t>
            </w:r>
          </w:p>
        </w:tc>
        <w:tc>
          <w:tcPr>
            <w:tcW w:w="990" w:type="dxa"/>
          </w:tcPr>
          <w:p w14:paraId="17A63585" w14:textId="77777777" w:rsidR="00B830CA" w:rsidRPr="00DC1C30" w:rsidRDefault="00B830CA" w:rsidP="00673D03">
            <w:pPr>
              <w:jc w:val="center"/>
              <w:rPr>
                <w:sz w:val="22"/>
                <w:szCs w:val="22"/>
              </w:rPr>
            </w:pPr>
            <w:r w:rsidRPr="00DC1C30">
              <w:rPr>
                <w:sz w:val="22"/>
                <w:szCs w:val="22"/>
              </w:rPr>
              <w:t xml:space="preserve">18.62 </w:t>
            </w:r>
          </w:p>
          <w:p w14:paraId="5E5FF96B" w14:textId="77777777" w:rsidR="00B830CA" w:rsidRPr="00DC1C30" w:rsidRDefault="00B830CA" w:rsidP="00673D03">
            <w:pPr>
              <w:jc w:val="center"/>
              <w:rPr>
                <w:sz w:val="22"/>
                <w:szCs w:val="22"/>
              </w:rPr>
            </w:pPr>
            <w:r w:rsidRPr="00DC1C30">
              <w:rPr>
                <w:sz w:val="22"/>
                <w:szCs w:val="22"/>
              </w:rPr>
              <w:t>(7.77)</w:t>
            </w:r>
          </w:p>
        </w:tc>
        <w:tc>
          <w:tcPr>
            <w:tcW w:w="990" w:type="dxa"/>
          </w:tcPr>
          <w:p w14:paraId="22F0705D" w14:textId="77777777" w:rsidR="00B830CA" w:rsidRPr="00DC1C30" w:rsidRDefault="00B830CA" w:rsidP="00673D03">
            <w:pPr>
              <w:jc w:val="center"/>
              <w:rPr>
                <w:sz w:val="22"/>
                <w:szCs w:val="22"/>
              </w:rPr>
            </w:pPr>
            <w:r w:rsidRPr="00DC1C30">
              <w:rPr>
                <w:sz w:val="22"/>
                <w:szCs w:val="22"/>
              </w:rPr>
              <w:t>21.88 (15.08)</w:t>
            </w:r>
          </w:p>
        </w:tc>
        <w:tc>
          <w:tcPr>
            <w:tcW w:w="900" w:type="dxa"/>
          </w:tcPr>
          <w:p w14:paraId="7D13683D" w14:textId="77777777" w:rsidR="00B830CA" w:rsidRPr="00DC1C30" w:rsidRDefault="00B830CA" w:rsidP="00673D03">
            <w:pPr>
              <w:jc w:val="center"/>
              <w:rPr>
                <w:sz w:val="22"/>
                <w:szCs w:val="22"/>
              </w:rPr>
            </w:pPr>
            <w:r w:rsidRPr="00DC1C30">
              <w:rPr>
                <w:sz w:val="22"/>
                <w:szCs w:val="22"/>
              </w:rPr>
              <w:t>2.58*</w:t>
            </w:r>
          </w:p>
        </w:tc>
        <w:tc>
          <w:tcPr>
            <w:tcW w:w="900" w:type="dxa"/>
          </w:tcPr>
          <w:p w14:paraId="6C92DECC" w14:textId="77777777" w:rsidR="00B830CA" w:rsidRPr="00DC1C30" w:rsidRDefault="00B830CA" w:rsidP="00673D03">
            <w:pPr>
              <w:jc w:val="center"/>
              <w:rPr>
                <w:sz w:val="22"/>
                <w:szCs w:val="22"/>
              </w:rPr>
            </w:pPr>
            <w:r w:rsidRPr="00DC1C30">
              <w:rPr>
                <w:sz w:val="22"/>
                <w:szCs w:val="22"/>
              </w:rPr>
              <w:t>17.45 (11.09)</w:t>
            </w:r>
          </w:p>
        </w:tc>
        <w:tc>
          <w:tcPr>
            <w:tcW w:w="990" w:type="dxa"/>
          </w:tcPr>
          <w:p w14:paraId="597A3503" w14:textId="77777777" w:rsidR="00B830CA" w:rsidRPr="00DC1C30" w:rsidRDefault="00B830CA" w:rsidP="00673D03">
            <w:pPr>
              <w:jc w:val="center"/>
              <w:rPr>
                <w:sz w:val="22"/>
                <w:szCs w:val="22"/>
              </w:rPr>
            </w:pPr>
            <w:r w:rsidRPr="00DC1C30">
              <w:rPr>
                <w:sz w:val="22"/>
                <w:szCs w:val="22"/>
              </w:rPr>
              <w:t>18.05 (6.48)</w:t>
            </w:r>
          </w:p>
        </w:tc>
        <w:tc>
          <w:tcPr>
            <w:tcW w:w="810" w:type="dxa"/>
          </w:tcPr>
          <w:p w14:paraId="4050AC80" w14:textId="77777777" w:rsidR="00B830CA" w:rsidRPr="00DC1C30" w:rsidRDefault="00B830CA" w:rsidP="00673D03">
            <w:pPr>
              <w:jc w:val="center"/>
              <w:rPr>
                <w:sz w:val="22"/>
                <w:szCs w:val="22"/>
              </w:rPr>
            </w:pPr>
            <w:r w:rsidRPr="00DC1C30">
              <w:rPr>
                <w:sz w:val="22"/>
                <w:szCs w:val="22"/>
              </w:rPr>
              <w:t>.54</w:t>
            </w:r>
          </w:p>
        </w:tc>
      </w:tr>
      <w:tr w:rsidR="00B830CA" w:rsidRPr="00DC1C30" w14:paraId="3CEB48C8" w14:textId="77777777" w:rsidTr="001611C8">
        <w:tc>
          <w:tcPr>
            <w:tcW w:w="1623" w:type="dxa"/>
          </w:tcPr>
          <w:p w14:paraId="18A77622" w14:textId="77777777" w:rsidR="00B830CA" w:rsidRPr="00DC1C30" w:rsidRDefault="00B830CA" w:rsidP="00673D03">
            <w:pPr>
              <w:rPr>
                <w:sz w:val="22"/>
                <w:szCs w:val="22"/>
              </w:rPr>
            </w:pPr>
            <w:r w:rsidRPr="00DC1C30">
              <w:rPr>
                <w:sz w:val="22"/>
                <w:szCs w:val="22"/>
              </w:rPr>
              <w:t>Fiber (g) per serving</w:t>
            </w:r>
          </w:p>
        </w:tc>
        <w:tc>
          <w:tcPr>
            <w:tcW w:w="987" w:type="dxa"/>
          </w:tcPr>
          <w:p w14:paraId="6B6BC40D" w14:textId="77777777" w:rsidR="00B830CA" w:rsidRPr="00DC1C30" w:rsidRDefault="00B830CA" w:rsidP="00673D03">
            <w:pPr>
              <w:jc w:val="center"/>
              <w:rPr>
                <w:sz w:val="22"/>
                <w:szCs w:val="22"/>
              </w:rPr>
            </w:pPr>
            <w:r w:rsidRPr="00DC1C30">
              <w:rPr>
                <w:sz w:val="22"/>
                <w:szCs w:val="22"/>
              </w:rPr>
              <w:t>2.01</w:t>
            </w:r>
          </w:p>
          <w:p w14:paraId="204D0E6D" w14:textId="77777777" w:rsidR="00B830CA" w:rsidRPr="00DC1C30" w:rsidRDefault="00B830CA" w:rsidP="00673D03">
            <w:pPr>
              <w:jc w:val="center"/>
              <w:rPr>
                <w:sz w:val="22"/>
                <w:szCs w:val="22"/>
              </w:rPr>
            </w:pPr>
            <w:r w:rsidRPr="00DC1C30">
              <w:rPr>
                <w:sz w:val="22"/>
                <w:szCs w:val="22"/>
              </w:rPr>
              <w:t>(1.29)</w:t>
            </w:r>
          </w:p>
        </w:tc>
        <w:tc>
          <w:tcPr>
            <w:tcW w:w="990" w:type="dxa"/>
          </w:tcPr>
          <w:p w14:paraId="472F2E0F" w14:textId="77777777" w:rsidR="00B830CA" w:rsidRPr="00DC1C30" w:rsidRDefault="00B830CA" w:rsidP="00673D03">
            <w:pPr>
              <w:jc w:val="center"/>
              <w:rPr>
                <w:sz w:val="22"/>
                <w:szCs w:val="22"/>
              </w:rPr>
            </w:pPr>
            <w:r w:rsidRPr="00DC1C30">
              <w:rPr>
                <w:sz w:val="22"/>
                <w:szCs w:val="22"/>
              </w:rPr>
              <w:t xml:space="preserve">2.04 </w:t>
            </w:r>
          </w:p>
          <w:p w14:paraId="7806D3B5" w14:textId="77777777" w:rsidR="00B830CA" w:rsidRPr="00DC1C30" w:rsidRDefault="00B830CA" w:rsidP="00673D03">
            <w:pPr>
              <w:jc w:val="center"/>
              <w:rPr>
                <w:sz w:val="22"/>
                <w:szCs w:val="22"/>
              </w:rPr>
            </w:pPr>
            <w:r w:rsidRPr="00DC1C30">
              <w:rPr>
                <w:sz w:val="22"/>
                <w:szCs w:val="22"/>
              </w:rPr>
              <w:t>(1.15)</w:t>
            </w:r>
          </w:p>
        </w:tc>
        <w:tc>
          <w:tcPr>
            <w:tcW w:w="720" w:type="dxa"/>
          </w:tcPr>
          <w:p w14:paraId="38F4B3ED" w14:textId="77777777" w:rsidR="00B830CA" w:rsidRPr="00DC1C30" w:rsidRDefault="00B830CA" w:rsidP="00673D03">
            <w:pPr>
              <w:jc w:val="center"/>
              <w:rPr>
                <w:sz w:val="22"/>
                <w:szCs w:val="22"/>
              </w:rPr>
            </w:pPr>
            <w:r w:rsidRPr="00DC1C30">
              <w:rPr>
                <w:sz w:val="22"/>
                <w:szCs w:val="22"/>
              </w:rPr>
              <w:t>.24</w:t>
            </w:r>
          </w:p>
        </w:tc>
        <w:tc>
          <w:tcPr>
            <w:tcW w:w="990" w:type="dxa"/>
          </w:tcPr>
          <w:p w14:paraId="1EA7579A" w14:textId="77777777" w:rsidR="00B830CA" w:rsidRPr="00DC1C30" w:rsidRDefault="00B830CA" w:rsidP="00673D03">
            <w:pPr>
              <w:jc w:val="center"/>
              <w:rPr>
                <w:sz w:val="22"/>
                <w:szCs w:val="22"/>
              </w:rPr>
            </w:pPr>
            <w:r w:rsidRPr="00DC1C30">
              <w:rPr>
                <w:sz w:val="22"/>
                <w:szCs w:val="22"/>
              </w:rPr>
              <w:t xml:space="preserve">2.09 </w:t>
            </w:r>
          </w:p>
          <w:p w14:paraId="14D873E2" w14:textId="77777777" w:rsidR="00B830CA" w:rsidRPr="00DC1C30" w:rsidRDefault="00B830CA" w:rsidP="00673D03">
            <w:pPr>
              <w:jc w:val="center"/>
              <w:rPr>
                <w:sz w:val="22"/>
                <w:szCs w:val="22"/>
              </w:rPr>
            </w:pPr>
            <w:r w:rsidRPr="00DC1C30">
              <w:rPr>
                <w:sz w:val="22"/>
                <w:szCs w:val="22"/>
              </w:rPr>
              <w:t>(1.04)</w:t>
            </w:r>
          </w:p>
        </w:tc>
        <w:tc>
          <w:tcPr>
            <w:tcW w:w="990" w:type="dxa"/>
          </w:tcPr>
          <w:p w14:paraId="4EE25CC6" w14:textId="77777777" w:rsidR="00B830CA" w:rsidRPr="00DC1C30" w:rsidRDefault="00B830CA" w:rsidP="00673D03">
            <w:pPr>
              <w:jc w:val="center"/>
              <w:rPr>
                <w:sz w:val="22"/>
                <w:szCs w:val="22"/>
              </w:rPr>
            </w:pPr>
            <w:r w:rsidRPr="00DC1C30">
              <w:rPr>
                <w:sz w:val="22"/>
                <w:szCs w:val="22"/>
              </w:rPr>
              <w:t>2.13 (1.30)</w:t>
            </w:r>
          </w:p>
        </w:tc>
        <w:tc>
          <w:tcPr>
            <w:tcW w:w="900" w:type="dxa"/>
          </w:tcPr>
          <w:p w14:paraId="5D0DF032" w14:textId="77777777" w:rsidR="00B830CA" w:rsidRPr="00DC1C30" w:rsidRDefault="00B830CA" w:rsidP="00673D03">
            <w:pPr>
              <w:jc w:val="center"/>
              <w:rPr>
                <w:sz w:val="22"/>
                <w:szCs w:val="22"/>
              </w:rPr>
            </w:pPr>
            <w:r w:rsidRPr="00DC1C30">
              <w:rPr>
                <w:sz w:val="22"/>
                <w:szCs w:val="22"/>
              </w:rPr>
              <w:t>.31</w:t>
            </w:r>
          </w:p>
        </w:tc>
        <w:tc>
          <w:tcPr>
            <w:tcW w:w="900" w:type="dxa"/>
          </w:tcPr>
          <w:p w14:paraId="7AC486F3" w14:textId="77777777" w:rsidR="00B830CA" w:rsidRPr="00DC1C30" w:rsidRDefault="00B830CA" w:rsidP="00673D03">
            <w:pPr>
              <w:jc w:val="center"/>
              <w:rPr>
                <w:sz w:val="22"/>
                <w:szCs w:val="22"/>
              </w:rPr>
            </w:pPr>
            <w:r w:rsidRPr="00DC1C30">
              <w:rPr>
                <w:sz w:val="22"/>
                <w:szCs w:val="22"/>
              </w:rPr>
              <w:t>1.86 (1.15)</w:t>
            </w:r>
          </w:p>
        </w:tc>
        <w:tc>
          <w:tcPr>
            <w:tcW w:w="990" w:type="dxa"/>
          </w:tcPr>
          <w:p w14:paraId="607A21D8" w14:textId="77777777" w:rsidR="00B830CA" w:rsidRPr="00DC1C30" w:rsidRDefault="00B830CA" w:rsidP="00673D03">
            <w:pPr>
              <w:jc w:val="center"/>
              <w:rPr>
                <w:sz w:val="22"/>
                <w:szCs w:val="22"/>
              </w:rPr>
            </w:pPr>
            <w:r w:rsidRPr="00DC1C30">
              <w:rPr>
                <w:sz w:val="22"/>
                <w:szCs w:val="22"/>
              </w:rPr>
              <w:t>1.91 (.99)</w:t>
            </w:r>
          </w:p>
        </w:tc>
        <w:tc>
          <w:tcPr>
            <w:tcW w:w="810" w:type="dxa"/>
          </w:tcPr>
          <w:p w14:paraId="48714831" w14:textId="77777777" w:rsidR="00B830CA" w:rsidRPr="00DC1C30" w:rsidRDefault="00B830CA" w:rsidP="00673D03">
            <w:pPr>
              <w:jc w:val="center"/>
              <w:rPr>
                <w:sz w:val="22"/>
                <w:szCs w:val="22"/>
              </w:rPr>
            </w:pPr>
            <w:r w:rsidRPr="00DC1C30">
              <w:rPr>
                <w:sz w:val="22"/>
                <w:szCs w:val="22"/>
              </w:rPr>
              <w:t>.38</w:t>
            </w:r>
          </w:p>
        </w:tc>
      </w:tr>
      <w:tr w:rsidR="00B830CA" w:rsidRPr="00DC1C30" w14:paraId="337AAA77" w14:textId="77777777" w:rsidTr="001611C8">
        <w:tc>
          <w:tcPr>
            <w:tcW w:w="1623" w:type="dxa"/>
          </w:tcPr>
          <w:p w14:paraId="2953F75A" w14:textId="77777777" w:rsidR="00B830CA" w:rsidRPr="00DC1C30" w:rsidRDefault="00B830CA" w:rsidP="00673D03">
            <w:pPr>
              <w:rPr>
                <w:sz w:val="22"/>
                <w:szCs w:val="22"/>
              </w:rPr>
            </w:pPr>
            <w:r w:rsidRPr="00DC1C30">
              <w:rPr>
                <w:sz w:val="22"/>
                <w:szCs w:val="22"/>
              </w:rPr>
              <w:lastRenderedPageBreak/>
              <w:t>Sugar (g) per serving</w:t>
            </w:r>
          </w:p>
        </w:tc>
        <w:tc>
          <w:tcPr>
            <w:tcW w:w="987" w:type="dxa"/>
          </w:tcPr>
          <w:p w14:paraId="1544F13E" w14:textId="77777777" w:rsidR="00B830CA" w:rsidRPr="00DC1C30" w:rsidRDefault="00B830CA" w:rsidP="00673D03">
            <w:pPr>
              <w:jc w:val="center"/>
              <w:rPr>
                <w:sz w:val="22"/>
                <w:szCs w:val="22"/>
              </w:rPr>
            </w:pPr>
            <w:r w:rsidRPr="00DC1C30">
              <w:rPr>
                <w:sz w:val="22"/>
                <w:szCs w:val="22"/>
              </w:rPr>
              <w:t xml:space="preserve">10.78 </w:t>
            </w:r>
          </w:p>
          <w:p w14:paraId="10E79E2F" w14:textId="77777777" w:rsidR="00B830CA" w:rsidRPr="00DC1C30" w:rsidRDefault="00B830CA" w:rsidP="00673D03">
            <w:pPr>
              <w:jc w:val="center"/>
              <w:rPr>
                <w:sz w:val="22"/>
                <w:szCs w:val="22"/>
              </w:rPr>
            </w:pPr>
            <w:r w:rsidRPr="00DC1C30">
              <w:rPr>
                <w:sz w:val="22"/>
                <w:szCs w:val="22"/>
              </w:rPr>
              <w:t>(10.91)</w:t>
            </w:r>
          </w:p>
        </w:tc>
        <w:tc>
          <w:tcPr>
            <w:tcW w:w="990" w:type="dxa"/>
          </w:tcPr>
          <w:p w14:paraId="20AC2F91" w14:textId="77777777" w:rsidR="00B830CA" w:rsidRPr="00DC1C30" w:rsidRDefault="00B830CA" w:rsidP="00673D03">
            <w:pPr>
              <w:jc w:val="center"/>
              <w:rPr>
                <w:sz w:val="22"/>
                <w:szCs w:val="22"/>
              </w:rPr>
            </w:pPr>
            <w:r w:rsidRPr="00DC1C30">
              <w:rPr>
                <w:sz w:val="22"/>
                <w:szCs w:val="22"/>
              </w:rPr>
              <w:t xml:space="preserve">10.18 </w:t>
            </w:r>
          </w:p>
          <w:p w14:paraId="08A993E3" w14:textId="77777777" w:rsidR="00B830CA" w:rsidRPr="00DC1C30" w:rsidRDefault="00B830CA" w:rsidP="00673D03">
            <w:pPr>
              <w:jc w:val="center"/>
              <w:rPr>
                <w:sz w:val="22"/>
                <w:szCs w:val="22"/>
              </w:rPr>
            </w:pPr>
            <w:r w:rsidRPr="00DC1C30">
              <w:rPr>
                <w:sz w:val="22"/>
                <w:szCs w:val="22"/>
              </w:rPr>
              <w:t>(9.65)</w:t>
            </w:r>
          </w:p>
        </w:tc>
        <w:tc>
          <w:tcPr>
            <w:tcW w:w="720" w:type="dxa"/>
          </w:tcPr>
          <w:p w14:paraId="6C9B2682" w14:textId="77777777" w:rsidR="00B830CA" w:rsidRPr="00DC1C30" w:rsidRDefault="00B830CA" w:rsidP="00673D03">
            <w:pPr>
              <w:jc w:val="center"/>
              <w:rPr>
                <w:sz w:val="22"/>
                <w:szCs w:val="22"/>
              </w:rPr>
            </w:pPr>
            <w:r w:rsidRPr="00DC1C30">
              <w:rPr>
                <w:sz w:val="22"/>
                <w:szCs w:val="22"/>
              </w:rPr>
              <w:t>.58</w:t>
            </w:r>
          </w:p>
        </w:tc>
        <w:tc>
          <w:tcPr>
            <w:tcW w:w="990" w:type="dxa"/>
          </w:tcPr>
          <w:p w14:paraId="1721282A" w14:textId="77777777" w:rsidR="00B830CA" w:rsidRPr="00DC1C30" w:rsidRDefault="00B830CA" w:rsidP="00673D03">
            <w:pPr>
              <w:jc w:val="center"/>
              <w:rPr>
                <w:sz w:val="22"/>
                <w:szCs w:val="22"/>
              </w:rPr>
            </w:pPr>
            <w:r w:rsidRPr="00DC1C30">
              <w:rPr>
                <w:sz w:val="22"/>
                <w:szCs w:val="22"/>
              </w:rPr>
              <w:t xml:space="preserve">8.58 </w:t>
            </w:r>
          </w:p>
          <w:p w14:paraId="6E0E8C20" w14:textId="77777777" w:rsidR="00B830CA" w:rsidRPr="00DC1C30" w:rsidRDefault="00B830CA" w:rsidP="00673D03">
            <w:pPr>
              <w:jc w:val="center"/>
              <w:rPr>
                <w:sz w:val="22"/>
                <w:szCs w:val="22"/>
              </w:rPr>
            </w:pPr>
            <w:r w:rsidRPr="00DC1C30">
              <w:rPr>
                <w:sz w:val="22"/>
                <w:szCs w:val="22"/>
              </w:rPr>
              <w:t>(6.37)</w:t>
            </w:r>
          </w:p>
        </w:tc>
        <w:tc>
          <w:tcPr>
            <w:tcW w:w="990" w:type="dxa"/>
          </w:tcPr>
          <w:p w14:paraId="3F22A2A8" w14:textId="77777777" w:rsidR="00B830CA" w:rsidRPr="00DC1C30" w:rsidRDefault="00B830CA" w:rsidP="00673D03">
            <w:pPr>
              <w:jc w:val="center"/>
              <w:rPr>
                <w:sz w:val="22"/>
                <w:szCs w:val="22"/>
              </w:rPr>
            </w:pPr>
            <w:r w:rsidRPr="00DC1C30">
              <w:rPr>
                <w:sz w:val="22"/>
                <w:szCs w:val="22"/>
              </w:rPr>
              <w:t>11.43 (12.04)</w:t>
            </w:r>
          </w:p>
        </w:tc>
        <w:tc>
          <w:tcPr>
            <w:tcW w:w="900" w:type="dxa"/>
          </w:tcPr>
          <w:p w14:paraId="2EC6EAC3" w14:textId="77777777" w:rsidR="00B830CA" w:rsidRPr="00DC1C30" w:rsidRDefault="00B830CA" w:rsidP="00673D03">
            <w:pPr>
              <w:jc w:val="center"/>
              <w:rPr>
                <w:sz w:val="22"/>
                <w:szCs w:val="22"/>
              </w:rPr>
            </w:pPr>
            <w:r w:rsidRPr="00DC1C30">
              <w:rPr>
                <w:sz w:val="22"/>
                <w:szCs w:val="22"/>
              </w:rPr>
              <w:t>2.81*</w:t>
            </w:r>
          </w:p>
        </w:tc>
        <w:tc>
          <w:tcPr>
            <w:tcW w:w="900" w:type="dxa"/>
          </w:tcPr>
          <w:p w14:paraId="20290B9D" w14:textId="77777777" w:rsidR="00B830CA" w:rsidRPr="00DC1C30" w:rsidRDefault="00B830CA" w:rsidP="00673D03">
            <w:pPr>
              <w:jc w:val="center"/>
              <w:rPr>
                <w:sz w:val="22"/>
                <w:szCs w:val="22"/>
              </w:rPr>
            </w:pPr>
            <w:r w:rsidRPr="00DC1C30">
              <w:rPr>
                <w:sz w:val="22"/>
                <w:szCs w:val="22"/>
              </w:rPr>
              <w:t>7.75 (8.91)</w:t>
            </w:r>
          </w:p>
        </w:tc>
        <w:tc>
          <w:tcPr>
            <w:tcW w:w="990" w:type="dxa"/>
          </w:tcPr>
          <w:p w14:paraId="61AF5888" w14:textId="77777777" w:rsidR="00B830CA" w:rsidRPr="00DC1C30" w:rsidRDefault="00B830CA" w:rsidP="00673D03">
            <w:pPr>
              <w:jc w:val="center"/>
              <w:rPr>
                <w:sz w:val="22"/>
                <w:szCs w:val="22"/>
              </w:rPr>
            </w:pPr>
            <w:r w:rsidRPr="00DC1C30">
              <w:rPr>
                <w:sz w:val="22"/>
                <w:szCs w:val="22"/>
              </w:rPr>
              <w:t>7.59 (4.78)</w:t>
            </w:r>
          </w:p>
        </w:tc>
        <w:tc>
          <w:tcPr>
            <w:tcW w:w="810" w:type="dxa"/>
          </w:tcPr>
          <w:p w14:paraId="1EE432B9" w14:textId="77777777" w:rsidR="00B830CA" w:rsidRPr="00DC1C30" w:rsidRDefault="00B830CA" w:rsidP="00673D03">
            <w:pPr>
              <w:jc w:val="center"/>
              <w:rPr>
                <w:sz w:val="22"/>
                <w:szCs w:val="22"/>
              </w:rPr>
            </w:pPr>
            <w:r w:rsidRPr="00DC1C30">
              <w:rPr>
                <w:sz w:val="22"/>
                <w:szCs w:val="22"/>
              </w:rPr>
              <w:t>.19</w:t>
            </w:r>
          </w:p>
        </w:tc>
      </w:tr>
      <w:tr w:rsidR="00B830CA" w:rsidRPr="00DC1C30" w14:paraId="0600F6C3" w14:textId="77777777" w:rsidTr="001611C8">
        <w:tc>
          <w:tcPr>
            <w:tcW w:w="1623" w:type="dxa"/>
          </w:tcPr>
          <w:p w14:paraId="03EA671C" w14:textId="77777777" w:rsidR="00B830CA" w:rsidRPr="00DC1C30" w:rsidRDefault="00B830CA" w:rsidP="00673D03">
            <w:pPr>
              <w:rPr>
                <w:sz w:val="22"/>
                <w:szCs w:val="22"/>
              </w:rPr>
            </w:pPr>
            <w:r w:rsidRPr="00DC1C30">
              <w:rPr>
                <w:sz w:val="22"/>
                <w:szCs w:val="22"/>
              </w:rPr>
              <w:t>Protein (g) per serving</w:t>
            </w:r>
          </w:p>
        </w:tc>
        <w:tc>
          <w:tcPr>
            <w:tcW w:w="987" w:type="dxa"/>
          </w:tcPr>
          <w:p w14:paraId="52824269" w14:textId="77777777" w:rsidR="00B830CA" w:rsidRPr="00DC1C30" w:rsidRDefault="00B830CA" w:rsidP="00673D03">
            <w:pPr>
              <w:jc w:val="center"/>
              <w:rPr>
                <w:sz w:val="22"/>
                <w:szCs w:val="22"/>
              </w:rPr>
            </w:pPr>
            <w:r w:rsidRPr="00DC1C30">
              <w:rPr>
                <w:sz w:val="22"/>
                <w:szCs w:val="22"/>
              </w:rPr>
              <w:t xml:space="preserve">4.14 </w:t>
            </w:r>
          </w:p>
          <w:p w14:paraId="6A3A9A8C" w14:textId="77777777" w:rsidR="00B830CA" w:rsidRPr="00DC1C30" w:rsidRDefault="00B830CA" w:rsidP="00673D03">
            <w:pPr>
              <w:jc w:val="center"/>
              <w:rPr>
                <w:sz w:val="22"/>
                <w:szCs w:val="22"/>
              </w:rPr>
            </w:pPr>
            <w:r w:rsidRPr="00DC1C30">
              <w:rPr>
                <w:sz w:val="22"/>
                <w:szCs w:val="22"/>
              </w:rPr>
              <w:t>(2.37)</w:t>
            </w:r>
          </w:p>
        </w:tc>
        <w:tc>
          <w:tcPr>
            <w:tcW w:w="990" w:type="dxa"/>
          </w:tcPr>
          <w:p w14:paraId="6547D5FB" w14:textId="77777777" w:rsidR="00B830CA" w:rsidRPr="00DC1C30" w:rsidRDefault="00B830CA" w:rsidP="00673D03">
            <w:pPr>
              <w:jc w:val="center"/>
              <w:rPr>
                <w:sz w:val="22"/>
                <w:szCs w:val="22"/>
              </w:rPr>
            </w:pPr>
            <w:r w:rsidRPr="00DC1C30">
              <w:rPr>
                <w:sz w:val="22"/>
                <w:szCs w:val="22"/>
              </w:rPr>
              <w:t xml:space="preserve">4.29 </w:t>
            </w:r>
          </w:p>
          <w:p w14:paraId="0FE8F852" w14:textId="77777777" w:rsidR="00B830CA" w:rsidRPr="00DC1C30" w:rsidRDefault="00B830CA" w:rsidP="00673D03">
            <w:pPr>
              <w:jc w:val="center"/>
              <w:rPr>
                <w:sz w:val="22"/>
                <w:szCs w:val="22"/>
              </w:rPr>
            </w:pPr>
            <w:r w:rsidRPr="00DC1C30">
              <w:rPr>
                <w:sz w:val="22"/>
                <w:szCs w:val="22"/>
              </w:rPr>
              <w:t>(2.46)</w:t>
            </w:r>
          </w:p>
        </w:tc>
        <w:tc>
          <w:tcPr>
            <w:tcW w:w="720" w:type="dxa"/>
          </w:tcPr>
          <w:p w14:paraId="778B181C" w14:textId="77777777" w:rsidR="00B830CA" w:rsidRPr="00DC1C30" w:rsidRDefault="00B830CA" w:rsidP="00673D03">
            <w:pPr>
              <w:jc w:val="center"/>
              <w:rPr>
                <w:sz w:val="22"/>
                <w:szCs w:val="22"/>
              </w:rPr>
            </w:pPr>
            <w:r w:rsidRPr="00DC1C30">
              <w:rPr>
                <w:sz w:val="22"/>
                <w:szCs w:val="22"/>
              </w:rPr>
              <w:t>.61</w:t>
            </w:r>
          </w:p>
        </w:tc>
        <w:tc>
          <w:tcPr>
            <w:tcW w:w="990" w:type="dxa"/>
          </w:tcPr>
          <w:p w14:paraId="2E28DE76" w14:textId="77777777" w:rsidR="00B830CA" w:rsidRPr="00DC1C30" w:rsidRDefault="00B830CA" w:rsidP="00673D03">
            <w:pPr>
              <w:jc w:val="center"/>
              <w:rPr>
                <w:sz w:val="22"/>
                <w:szCs w:val="22"/>
              </w:rPr>
            </w:pPr>
            <w:r w:rsidRPr="00DC1C30">
              <w:rPr>
                <w:sz w:val="22"/>
                <w:szCs w:val="22"/>
              </w:rPr>
              <w:t xml:space="preserve">4.26 </w:t>
            </w:r>
          </w:p>
          <w:p w14:paraId="70EB2B1B" w14:textId="77777777" w:rsidR="00B830CA" w:rsidRPr="00DC1C30" w:rsidRDefault="00B830CA" w:rsidP="00673D03">
            <w:pPr>
              <w:jc w:val="center"/>
              <w:rPr>
                <w:sz w:val="22"/>
                <w:szCs w:val="22"/>
              </w:rPr>
            </w:pPr>
            <w:r w:rsidRPr="00DC1C30">
              <w:rPr>
                <w:sz w:val="22"/>
                <w:szCs w:val="22"/>
              </w:rPr>
              <w:t>(2.22)</w:t>
            </w:r>
          </w:p>
        </w:tc>
        <w:tc>
          <w:tcPr>
            <w:tcW w:w="990" w:type="dxa"/>
          </w:tcPr>
          <w:p w14:paraId="08E1ADA3" w14:textId="77777777" w:rsidR="00B830CA" w:rsidRPr="00DC1C30" w:rsidRDefault="00B830CA" w:rsidP="00673D03">
            <w:pPr>
              <w:jc w:val="center"/>
              <w:rPr>
                <w:sz w:val="22"/>
                <w:szCs w:val="22"/>
              </w:rPr>
            </w:pPr>
            <w:r w:rsidRPr="00DC1C30">
              <w:rPr>
                <w:sz w:val="22"/>
                <w:szCs w:val="22"/>
              </w:rPr>
              <w:t>4.60 (2.28)</w:t>
            </w:r>
          </w:p>
        </w:tc>
        <w:tc>
          <w:tcPr>
            <w:tcW w:w="900" w:type="dxa"/>
          </w:tcPr>
          <w:p w14:paraId="54CEFF62" w14:textId="77777777" w:rsidR="00B830CA" w:rsidRPr="00DC1C30" w:rsidRDefault="00B830CA" w:rsidP="00673D03">
            <w:pPr>
              <w:jc w:val="center"/>
              <w:rPr>
                <w:sz w:val="22"/>
                <w:szCs w:val="22"/>
              </w:rPr>
            </w:pPr>
            <w:r w:rsidRPr="00DC1C30">
              <w:rPr>
                <w:sz w:val="22"/>
                <w:szCs w:val="22"/>
              </w:rPr>
              <w:t>1.46</w:t>
            </w:r>
          </w:p>
        </w:tc>
        <w:tc>
          <w:tcPr>
            <w:tcW w:w="900" w:type="dxa"/>
          </w:tcPr>
          <w:p w14:paraId="24284325" w14:textId="77777777" w:rsidR="00B830CA" w:rsidRPr="00DC1C30" w:rsidRDefault="00B830CA" w:rsidP="00673D03">
            <w:pPr>
              <w:jc w:val="center"/>
              <w:rPr>
                <w:sz w:val="22"/>
                <w:szCs w:val="22"/>
              </w:rPr>
            </w:pPr>
            <w:r w:rsidRPr="00DC1C30">
              <w:rPr>
                <w:sz w:val="22"/>
                <w:szCs w:val="22"/>
              </w:rPr>
              <w:t>4.77 (2.33)</w:t>
            </w:r>
          </w:p>
        </w:tc>
        <w:tc>
          <w:tcPr>
            <w:tcW w:w="990" w:type="dxa"/>
          </w:tcPr>
          <w:p w14:paraId="37A4B58A" w14:textId="77777777" w:rsidR="00B830CA" w:rsidRDefault="00B830CA" w:rsidP="00673D03">
            <w:pPr>
              <w:jc w:val="center"/>
              <w:rPr>
                <w:sz w:val="22"/>
                <w:szCs w:val="22"/>
              </w:rPr>
            </w:pPr>
            <w:r w:rsidRPr="00DC1C30">
              <w:rPr>
                <w:sz w:val="22"/>
                <w:szCs w:val="22"/>
              </w:rPr>
              <w:t>4.73</w:t>
            </w:r>
          </w:p>
          <w:p w14:paraId="44D53378" w14:textId="77777777" w:rsidR="00B830CA" w:rsidRPr="00DC1C30" w:rsidRDefault="00B830CA" w:rsidP="00673D03">
            <w:pPr>
              <w:jc w:val="center"/>
              <w:rPr>
                <w:sz w:val="22"/>
                <w:szCs w:val="22"/>
              </w:rPr>
            </w:pPr>
            <w:r w:rsidRPr="00DC1C30">
              <w:rPr>
                <w:sz w:val="22"/>
                <w:szCs w:val="22"/>
              </w:rPr>
              <w:t>(1.95)</w:t>
            </w:r>
          </w:p>
        </w:tc>
        <w:tc>
          <w:tcPr>
            <w:tcW w:w="810" w:type="dxa"/>
          </w:tcPr>
          <w:p w14:paraId="42244F3F" w14:textId="77777777" w:rsidR="00B830CA" w:rsidRPr="00DC1C30" w:rsidRDefault="00B830CA" w:rsidP="00673D03">
            <w:pPr>
              <w:jc w:val="center"/>
              <w:rPr>
                <w:sz w:val="22"/>
                <w:szCs w:val="22"/>
              </w:rPr>
            </w:pPr>
            <w:r w:rsidRPr="00DC1C30">
              <w:rPr>
                <w:sz w:val="22"/>
                <w:szCs w:val="22"/>
              </w:rPr>
              <w:t>.14</w:t>
            </w:r>
          </w:p>
        </w:tc>
      </w:tr>
      <w:tr w:rsidR="00B830CA" w:rsidRPr="00DC1C30" w14:paraId="17516ECD" w14:textId="77777777" w:rsidTr="001611C8">
        <w:tc>
          <w:tcPr>
            <w:tcW w:w="1623" w:type="dxa"/>
            <w:tcBorders>
              <w:bottom w:val="single" w:sz="4" w:space="0" w:color="auto"/>
            </w:tcBorders>
          </w:tcPr>
          <w:p w14:paraId="6E074644" w14:textId="77777777" w:rsidR="00B830CA" w:rsidRPr="00DC1C30" w:rsidRDefault="00B830CA" w:rsidP="00673D03">
            <w:pPr>
              <w:rPr>
                <w:sz w:val="22"/>
                <w:szCs w:val="22"/>
              </w:rPr>
            </w:pPr>
            <w:r w:rsidRPr="00DC1C30">
              <w:rPr>
                <w:sz w:val="22"/>
                <w:szCs w:val="22"/>
              </w:rPr>
              <w:t>Star points per serving</w:t>
            </w:r>
          </w:p>
        </w:tc>
        <w:tc>
          <w:tcPr>
            <w:tcW w:w="987" w:type="dxa"/>
            <w:tcBorders>
              <w:bottom w:val="single" w:sz="4" w:space="0" w:color="auto"/>
            </w:tcBorders>
          </w:tcPr>
          <w:p w14:paraId="281F9E15" w14:textId="77777777" w:rsidR="00B830CA" w:rsidRPr="00DC1C30" w:rsidRDefault="00B830CA" w:rsidP="00673D03">
            <w:pPr>
              <w:jc w:val="center"/>
              <w:rPr>
                <w:sz w:val="22"/>
                <w:szCs w:val="22"/>
              </w:rPr>
            </w:pPr>
            <w:r w:rsidRPr="00DC1C30">
              <w:rPr>
                <w:sz w:val="22"/>
                <w:szCs w:val="22"/>
              </w:rPr>
              <w:t xml:space="preserve">.56 </w:t>
            </w:r>
          </w:p>
          <w:p w14:paraId="60005D60" w14:textId="77777777" w:rsidR="00B830CA" w:rsidRPr="00DC1C30" w:rsidRDefault="00B830CA" w:rsidP="00673D03">
            <w:pPr>
              <w:jc w:val="center"/>
              <w:rPr>
                <w:sz w:val="22"/>
                <w:szCs w:val="22"/>
              </w:rPr>
            </w:pPr>
            <w:r w:rsidRPr="00DC1C30">
              <w:rPr>
                <w:sz w:val="22"/>
                <w:szCs w:val="22"/>
              </w:rPr>
              <w:t>(5.19)</w:t>
            </w:r>
          </w:p>
        </w:tc>
        <w:tc>
          <w:tcPr>
            <w:tcW w:w="990" w:type="dxa"/>
            <w:tcBorders>
              <w:bottom w:val="single" w:sz="4" w:space="0" w:color="auto"/>
            </w:tcBorders>
          </w:tcPr>
          <w:p w14:paraId="090B0C3D" w14:textId="77777777" w:rsidR="00B830CA" w:rsidRPr="00DC1C30" w:rsidRDefault="00B830CA" w:rsidP="00673D03">
            <w:pPr>
              <w:jc w:val="center"/>
              <w:rPr>
                <w:sz w:val="22"/>
                <w:szCs w:val="22"/>
              </w:rPr>
            </w:pPr>
            <w:r w:rsidRPr="00DC1C30">
              <w:rPr>
                <w:sz w:val="22"/>
                <w:szCs w:val="22"/>
              </w:rPr>
              <w:t xml:space="preserve">.77 </w:t>
            </w:r>
          </w:p>
          <w:p w14:paraId="07E123E8" w14:textId="77777777" w:rsidR="00B830CA" w:rsidRPr="00DC1C30" w:rsidRDefault="00B830CA" w:rsidP="00673D03">
            <w:pPr>
              <w:jc w:val="center"/>
              <w:rPr>
                <w:sz w:val="22"/>
                <w:szCs w:val="22"/>
              </w:rPr>
            </w:pPr>
            <w:r w:rsidRPr="00DC1C30">
              <w:rPr>
                <w:sz w:val="22"/>
                <w:szCs w:val="22"/>
              </w:rPr>
              <w:t>(4.92)</w:t>
            </w:r>
          </w:p>
        </w:tc>
        <w:tc>
          <w:tcPr>
            <w:tcW w:w="720" w:type="dxa"/>
            <w:tcBorders>
              <w:bottom w:val="single" w:sz="4" w:space="0" w:color="auto"/>
            </w:tcBorders>
          </w:tcPr>
          <w:p w14:paraId="632B210B" w14:textId="77777777" w:rsidR="00B830CA" w:rsidRPr="00DC1C30" w:rsidRDefault="00B830CA" w:rsidP="00673D03">
            <w:pPr>
              <w:jc w:val="center"/>
              <w:rPr>
                <w:sz w:val="22"/>
                <w:szCs w:val="22"/>
              </w:rPr>
            </w:pPr>
            <w:r w:rsidRPr="00DC1C30">
              <w:rPr>
                <w:sz w:val="22"/>
                <w:szCs w:val="22"/>
              </w:rPr>
              <w:t>.41</w:t>
            </w:r>
          </w:p>
        </w:tc>
        <w:tc>
          <w:tcPr>
            <w:tcW w:w="990" w:type="dxa"/>
            <w:tcBorders>
              <w:bottom w:val="single" w:sz="4" w:space="0" w:color="auto"/>
            </w:tcBorders>
          </w:tcPr>
          <w:p w14:paraId="089F91D2" w14:textId="77777777" w:rsidR="00B830CA" w:rsidRPr="00DC1C30" w:rsidRDefault="00B830CA" w:rsidP="00673D03">
            <w:pPr>
              <w:jc w:val="center"/>
              <w:rPr>
                <w:sz w:val="22"/>
                <w:szCs w:val="22"/>
              </w:rPr>
            </w:pPr>
            <w:r w:rsidRPr="00DC1C30">
              <w:rPr>
                <w:sz w:val="22"/>
                <w:szCs w:val="22"/>
              </w:rPr>
              <w:t xml:space="preserve">1.97 </w:t>
            </w:r>
          </w:p>
          <w:p w14:paraId="6CA9CB33" w14:textId="77777777" w:rsidR="00B830CA" w:rsidRPr="00DC1C30" w:rsidRDefault="00B830CA" w:rsidP="00673D03">
            <w:pPr>
              <w:jc w:val="center"/>
              <w:rPr>
                <w:sz w:val="22"/>
                <w:szCs w:val="22"/>
              </w:rPr>
            </w:pPr>
            <w:r w:rsidRPr="00DC1C30">
              <w:rPr>
                <w:sz w:val="22"/>
                <w:szCs w:val="22"/>
              </w:rPr>
              <w:t>(4.53)</w:t>
            </w:r>
          </w:p>
        </w:tc>
        <w:tc>
          <w:tcPr>
            <w:tcW w:w="990" w:type="dxa"/>
            <w:tcBorders>
              <w:bottom w:val="single" w:sz="4" w:space="0" w:color="auto"/>
            </w:tcBorders>
          </w:tcPr>
          <w:p w14:paraId="48E56048" w14:textId="77777777" w:rsidR="00B830CA" w:rsidRPr="00DC1C30" w:rsidRDefault="00B830CA" w:rsidP="00673D03">
            <w:pPr>
              <w:jc w:val="center"/>
              <w:rPr>
                <w:sz w:val="22"/>
                <w:szCs w:val="22"/>
              </w:rPr>
            </w:pPr>
            <w:r w:rsidRPr="00DC1C30">
              <w:rPr>
                <w:sz w:val="22"/>
                <w:szCs w:val="22"/>
              </w:rPr>
              <w:t>.71 (5.05)</w:t>
            </w:r>
          </w:p>
        </w:tc>
        <w:tc>
          <w:tcPr>
            <w:tcW w:w="900" w:type="dxa"/>
            <w:tcBorders>
              <w:bottom w:val="single" w:sz="4" w:space="0" w:color="auto"/>
            </w:tcBorders>
          </w:tcPr>
          <w:p w14:paraId="22AB94A2" w14:textId="77777777" w:rsidR="00B830CA" w:rsidRPr="00DC1C30" w:rsidRDefault="00B830CA" w:rsidP="00673D03">
            <w:pPr>
              <w:jc w:val="center"/>
              <w:rPr>
                <w:sz w:val="22"/>
                <w:szCs w:val="22"/>
              </w:rPr>
            </w:pPr>
            <w:r w:rsidRPr="00DC1C30">
              <w:rPr>
                <w:sz w:val="22"/>
                <w:szCs w:val="22"/>
              </w:rPr>
              <w:t>2.51*</w:t>
            </w:r>
          </w:p>
        </w:tc>
        <w:tc>
          <w:tcPr>
            <w:tcW w:w="900" w:type="dxa"/>
            <w:tcBorders>
              <w:bottom w:val="single" w:sz="4" w:space="0" w:color="auto"/>
            </w:tcBorders>
          </w:tcPr>
          <w:p w14:paraId="2B71C29A" w14:textId="77777777" w:rsidR="00B830CA" w:rsidRPr="00DC1C30" w:rsidRDefault="00B830CA" w:rsidP="00673D03">
            <w:pPr>
              <w:jc w:val="center"/>
              <w:rPr>
                <w:sz w:val="22"/>
                <w:szCs w:val="22"/>
              </w:rPr>
            </w:pPr>
            <w:r w:rsidRPr="00DC1C30">
              <w:rPr>
                <w:sz w:val="22"/>
                <w:szCs w:val="22"/>
              </w:rPr>
              <w:t>-.48 (4.97)</w:t>
            </w:r>
          </w:p>
        </w:tc>
        <w:tc>
          <w:tcPr>
            <w:tcW w:w="990" w:type="dxa"/>
            <w:tcBorders>
              <w:bottom w:val="single" w:sz="4" w:space="0" w:color="auto"/>
            </w:tcBorders>
          </w:tcPr>
          <w:p w14:paraId="464346D1" w14:textId="77777777" w:rsidR="00B830CA" w:rsidRPr="00DC1C30" w:rsidRDefault="00B830CA" w:rsidP="00673D03">
            <w:pPr>
              <w:jc w:val="center"/>
              <w:rPr>
                <w:sz w:val="22"/>
                <w:szCs w:val="22"/>
              </w:rPr>
            </w:pPr>
            <w:r w:rsidRPr="00DC1C30">
              <w:rPr>
                <w:sz w:val="22"/>
                <w:szCs w:val="22"/>
              </w:rPr>
              <w:t>.90 (4.66)</w:t>
            </w:r>
          </w:p>
        </w:tc>
        <w:tc>
          <w:tcPr>
            <w:tcW w:w="810" w:type="dxa"/>
            <w:tcBorders>
              <w:bottom w:val="single" w:sz="4" w:space="0" w:color="auto"/>
            </w:tcBorders>
          </w:tcPr>
          <w:p w14:paraId="1E009499" w14:textId="77777777" w:rsidR="00B830CA" w:rsidRPr="00DC1C30" w:rsidRDefault="00B830CA" w:rsidP="00673D03">
            <w:pPr>
              <w:jc w:val="center"/>
              <w:rPr>
                <w:sz w:val="22"/>
                <w:szCs w:val="22"/>
              </w:rPr>
            </w:pPr>
            <w:r w:rsidRPr="00DC1C30">
              <w:rPr>
                <w:sz w:val="22"/>
                <w:szCs w:val="22"/>
              </w:rPr>
              <w:t>2.42*</w:t>
            </w:r>
          </w:p>
        </w:tc>
      </w:tr>
      <w:tr w:rsidR="001611C8" w:rsidRPr="00DC1C30" w14:paraId="7D134177" w14:textId="77777777" w:rsidTr="00476B6A">
        <w:tc>
          <w:tcPr>
            <w:tcW w:w="9900" w:type="dxa"/>
            <w:gridSpan w:val="10"/>
            <w:tcBorders>
              <w:top w:val="single" w:sz="4" w:space="0" w:color="auto"/>
            </w:tcBorders>
          </w:tcPr>
          <w:p w14:paraId="587E3710" w14:textId="09DD4946" w:rsidR="001611C8" w:rsidRPr="00DC1C30" w:rsidRDefault="001611C8" w:rsidP="00673D03">
            <w:pPr>
              <w:rPr>
                <w:sz w:val="22"/>
                <w:szCs w:val="22"/>
              </w:rPr>
            </w:pPr>
            <w:r w:rsidRPr="00DC1C30">
              <w:rPr>
                <w:sz w:val="22"/>
                <w:szCs w:val="22"/>
              </w:rPr>
              <w:t xml:space="preserve">Note: </w:t>
            </w:r>
            <w:r>
              <w:rPr>
                <w:sz w:val="22"/>
                <w:szCs w:val="22"/>
              </w:rPr>
              <w:t xml:space="preserve">**p&lt;.01, </w:t>
            </w:r>
            <w:r w:rsidRPr="00DC1C30">
              <w:rPr>
                <w:sz w:val="22"/>
                <w:szCs w:val="22"/>
              </w:rPr>
              <w:t>*p&lt;.05, †p&lt;.10</w:t>
            </w:r>
          </w:p>
        </w:tc>
      </w:tr>
    </w:tbl>
    <w:p w14:paraId="62EFFBD5" w14:textId="77777777" w:rsidR="00B830CA" w:rsidRDefault="00B830CA" w:rsidP="00436A78">
      <w:pPr>
        <w:spacing w:line="480" w:lineRule="auto"/>
        <w:rPr>
          <w:rFonts w:eastAsia="Times New Roman"/>
          <w:b/>
          <w:bCs/>
        </w:rPr>
      </w:pPr>
    </w:p>
    <w:p w14:paraId="400E6869" w14:textId="612DC4D8" w:rsidR="00436A78" w:rsidRDefault="00436A78" w:rsidP="00436A78">
      <w:pPr>
        <w:spacing w:line="480" w:lineRule="auto"/>
        <w:rPr>
          <w:rFonts w:eastAsia="Times New Roman"/>
          <w:b/>
          <w:bCs/>
        </w:rPr>
      </w:pPr>
      <w:r w:rsidRPr="003F1F7F">
        <w:rPr>
          <w:rFonts w:eastAsia="Times New Roman"/>
          <w:b/>
          <w:bCs/>
        </w:rPr>
        <w:t>ILLUSTRATION I</w:t>
      </w:r>
      <w:r>
        <w:rPr>
          <w:rFonts w:eastAsia="Times New Roman"/>
          <w:b/>
          <w:bCs/>
        </w:rPr>
        <w:t>I</w:t>
      </w:r>
      <w:r w:rsidRPr="003F1F7F">
        <w:rPr>
          <w:rFonts w:eastAsia="Times New Roman"/>
          <w:b/>
          <w:bCs/>
        </w:rPr>
        <w:t xml:space="preserve">: </w:t>
      </w:r>
      <w:r>
        <w:rPr>
          <w:rFonts w:eastAsia="Times New Roman"/>
          <w:b/>
          <w:bCs/>
        </w:rPr>
        <w:t xml:space="preserve">PAGE SORTING </w:t>
      </w:r>
    </w:p>
    <w:p w14:paraId="1BF31CC3" w14:textId="52F10663" w:rsidR="00436A78" w:rsidRDefault="00436A78" w:rsidP="00436A78">
      <w:pPr>
        <w:spacing w:line="480" w:lineRule="auto"/>
        <w:ind w:firstLine="720"/>
        <w:rPr>
          <w:rFonts w:eastAsia="Times New Roman"/>
        </w:rPr>
      </w:pPr>
      <w:r w:rsidRPr="00C44355">
        <w:rPr>
          <w:rFonts w:eastAsia="Times New Roman"/>
        </w:rPr>
        <w:t xml:space="preserve">In the OSOG, it is possible to change the default way foods are displayed on the page. We specifically studied whether bringing healthy foods to the top of the page would affect behavior.  </w:t>
      </w:r>
      <w:r>
        <w:rPr>
          <w:rFonts w:eastAsia="Times New Roman"/>
        </w:rPr>
        <w:t xml:space="preserve">Conceptually, this intervention is similar to visibility enhancements (e.g. placing healthy objects at eye level, placing healthy entrees early in a menu) or positioning nudges (e.g., putting healthier items closer to the participant) in brick-and-mortar stores, both of which have consistent effects on purchasing </w:t>
      </w:r>
      <w:r>
        <w:rPr>
          <w:rFonts w:eastAsia="Times New Roman"/>
        </w:rPr>
        <w:fldChar w:fldCharType="begin" w:fldLock="1"/>
      </w:r>
      <w:r w:rsidR="000630D1">
        <w:rPr>
          <w:rFonts w:eastAsia="Times New Roman"/>
        </w:rPr>
        <w:instrText>ADDIN CSL_CITATION {"citationItems":[{"id":"ITEM-1","itemData":{"DOI":"10.1287/mksc.2018.1128","ISBN":"0000000256","ISSN":"1526548X","abstract":"We examine the effectiveness in field settings of seven healthy eating nudges, clas sified according to whether they are (1) cognitively oriented, such as “descriptive nutritional labeling,” “evaluative nutritional labeling,” or “visibility enhancements”; (2) affectively oriented, such as “hedonic enhancements or “healthy eating calls”; or (3) behaviorally oriented, such as “convenience enhancements” or “size enhancements.” Our multivariate, three-level meta-analysis of 299 effect sizes, controlling for eating behavior, population, and study characteristics, yields a standardized mean difference (Cohen’s d)of0.23(equivalentto−124 kcal/day). Effect sizes increase as the focus of the nudges shifts from cognition (d =0.12,−64 kcal) to affect (d = 0.24, −129 kcal) to behavior (d = 0.39, −209 kcal). Interventions are more effective at reducing unhealthy eating than increasing healthy eating or reducing total eating. Effect sizes are larger in the United States than in other countries, in restaurants or cafeterias than in grocery stores, and in studies including a control group. Effect sizes are similar for food selection versus consumption and for children versus adults and are independent of study duration. Compared with the typical nudge study (d = 0.12), one implementing the best nudge scenario can expect a sixfold increase in effectiveness (to d = 0.74) with half theresultofswitchingfromcognitivelyoriented to behaviorally oriented nudges.","author":[{"dropping-particle":"","family":"Cadario","given":"Romain","non-dropping-particle":"","parse-names":false,"suffix":""},{"dropping-particle":"","family":"Chandon","given":"Pierre","non-dropping-particle":"","parse-names":false,"suffix":""}],"container-title":"Marketing Science","id":"ITEM-1","issue":"3","issued":{"date-parts":[["2020"]]},"page":"465-486","title":"Which healthy eating nudges work best? A meta-analysis of field experiments","type":"article-journal","volume":"39"},"uris":["http://www.mendeley.com/documents/?uuid=ce1e4f49-291c-49c9-8ca7-3b45a3a57a7b"]},{"id":"ITEM-2","itemData":{"DOI":"10.1017/S0007114516001653","ISBN":"0007114516","ISSN":"14752662","PMID":"27185414","abstract":"Nudging or 'choice architecture' refers to strategic changes in the environment that are anticipated to alter people's behaviour in a predictable way, without forbidding any options or significantly changing their economic incentives. Nudging strategies may be used to promote healthy eating behaviour. However, to date, the scientific evidence has not been systematically reviewed to enable practitioners and policymakers to implement, or argue for the implementation of, specific measures to support nudging strategies. This systematic review investigated the effect of positional changes of food placement on food choice. In total, seven scientific databases were searched using relevant keywords to identify interventions that manipulated food position (proximity or order) to generate a change in food selection, sales or consumption, among normal-weight or overweight individuals across any age group. From 2576 identified articles, fifteen articles comprising eighteen studies met our inclusion criteria. This review has identified that manipulation of food product order or proximity can influence food choice. Such approaches offer promise in terms of impacting on consumer behaviour. However, there is a need for high-quality studies that quantify the magnitude of positional effects on food choice in conjunction with measuring the impact on food intake, particularly in the longer term. Future studies should use outcome measures such as change in grams of food consumed or energy intake to quantify the impact on dietary intake and potential impacts on nutrition-related health. Research is also needed to evaluate potential compensatory behaviours secondary to such interventions.","author":[{"dropping-particle":"","family":"Bucher","given":"Tamara","non-dropping-particle":"","parse-names":false,"suffix":""},{"dropping-particle":"","family":"Collins","given":"Clare","non-dropping-particle":"","parse-names":false,"suffix":""},{"dropping-particle":"","family":"Rollo","given":"Megan E.","non-dropping-particle":"","parse-names":false,"suffix":""},{"dropping-particle":"","family":"McCaffrey","given":"Tracy A.","non-dropping-particle":"","parse-names":false,"suffix":""},{"dropping-particle":"","family":"Vlieger","given":"Nienke","non-dropping-particle":"De","parse-names":false,"suffix":""},{"dropping-particle":"","family":"Bend","given":"Daphne","non-dropping-particle":"Van Der","parse-names":false,"suffix":""},{"dropping-particle":"","family":"Truby","given":"Helen","non-dropping-particle":"","parse-names":false,"suffix":""},{"dropping-particle":"","family":"Perez-Cueto","given":"Federico J.A.","non-dropping-particle":"","parse-names":false,"suffix":""}],"container-title":"British Journal of Nutrition","id":"ITEM-2","issue":"12","issued":{"date-parts":[["2016"]]},"page":"2252-2263","title":"Nudging consumers towards healthier choices: A systematic review of positional influences on food choice","type":"article-journal","volume":"115"},"uris":["http://www.mendeley.com/documents/?uuid=c0764c76-d523-4653-bc72-1cebd2520593"]}],"mendeley":{"formattedCitation":"(Bucher et al. 2016; Cadario and Chandon 2020)","plainTextFormattedCitation":"(Bucher et al. 2016; Cadario and Chandon 2020)","previouslyFormattedCitation":"(Bucher et al. 2016; Cadario and Chandon 2020)"},"properties":{"noteIndex":0},"schema":"https://github.com/citation-style-language/schema/raw/master/csl-citation.json"}</w:instrText>
      </w:r>
      <w:r>
        <w:rPr>
          <w:rFonts w:eastAsia="Times New Roman"/>
        </w:rPr>
        <w:fldChar w:fldCharType="separate"/>
      </w:r>
      <w:r w:rsidR="000630D1" w:rsidRPr="000630D1">
        <w:rPr>
          <w:rFonts w:eastAsia="Times New Roman"/>
          <w:noProof/>
        </w:rPr>
        <w:t>(Bucher et al. 2016; Cadario and Chandon 2020)</w:t>
      </w:r>
      <w:r>
        <w:rPr>
          <w:rFonts w:eastAsia="Times New Roman"/>
        </w:rPr>
        <w:fldChar w:fldCharType="end"/>
      </w:r>
      <w:r>
        <w:rPr>
          <w:rFonts w:eastAsia="Times New Roman"/>
        </w:rPr>
        <w:t xml:space="preserve">. Studies of online shopping behavior also point to an effect of ordering. An observational study of online grocery shoppers suggests that consumers are likely to select items appearing closer to the top of each category </w:t>
      </w:r>
      <w:r>
        <w:rPr>
          <w:rFonts w:eastAsia="Times New Roman"/>
        </w:rPr>
        <w:fldChar w:fldCharType="begin" w:fldLock="1"/>
      </w:r>
      <w:r w:rsidR="00A20060">
        <w:rPr>
          <w:rFonts w:eastAsia="Times New Roman"/>
        </w:rPr>
        <w:instrText>ADDIN CSL_CITATION {"citationItems":[{"id":"ITEM-1","itemData":{"DOI":"10.1002/cb","abstract":"This study examines whether an organization’s charitable donation will prompt consumers who closely identify with the organization to give to the charity as well. We posit that identifying with a benefactor will enhance the perception that consumers are involved in the donation process, which evokes grateful feelings. We also predict that the amount of the organization’s donation will positively moderate the influence of organization identification on charity-evoked feelings of gratitude, while attitude toward the organization’s charity will positively moderate the gratitude–donation relationship. In Study 1, we show how gratitude arises in the context of corporate social responsibility by demonstrating the mediating role of perceived donation contribution in the relationship between organization identification and gratitude. In Study 2, we demonstrate that organization identification has a significant indirect effect on donation intention through gratitude. Multigroup analyses show that the identification–gratitude link is more salient when the organization commits to donating a larger amount of money to a charity. Furthermore, the impact of gratitude on donation intent is significantly stronger for individuals who hold a favorable attitude toward the organization’s corporate social responsibility activity. Our findings indicate that an organization’s charitable giving also encourages consumers to give to the community via vicariously felt gratitude.","author":[{"dropping-particle":"","family":"Anesbury","given":"Zachary","non-dropping-particle":"","parse-names":false,"suffix":""},{"dropping-particle":"","family":"Nenycz-Thiel","given":"Magda","non-dropping-particle":"","parse-names":false,"suffix":""},{"dropping-particle":"","family":"Daews","given":"John","non-dropping-particle":"","parse-names":false,"suffix":""},{"dropping-particle":"","family":"Kennedy","given":"Rachel","non-dropping-particle":"","parse-names":false,"suffix":""}],"container-title":"Journal of Consumer Behaviour","id":"ITEM-1","issue":"3","issued":{"date-parts":[["2016"]]},"page":"261-270","title":"How do shoppers behave online? An observational study of online grocery shopping","type":"article-journal","volume":"15"},"uris":["http://www.mendeley.com/documents/?uuid=689dadaa-baa5-4dd5-ad8e-a8ea114d9200"]}],"mendeley":{"formattedCitation":"(Anesbury et al. 2016)","plainTextFormattedCitation":"(Anesbury et al. 2016)","previouslyFormattedCitation":"(Anesbury et al. 2016)"},"properties":{"noteIndex":0},"schema":"https://github.com/citation-style-language/schema/raw/master/csl-citation.json"}</w:instrText>
      </w:r>
      <w:r>
        <w:rPr>
          <w:rFonts w:eastAsia="Times New Roman"/>
        </w:rPr>
        <w:fldChar w:fldCharType="separate"/>
      </w:r>
      <w:r w:rsidR="000630D1" w:rsidRPr="000630D1">
        <w:rPr>
          <w:rFonts w:eastAsia="Times New Roman"/>
          <w:noProof/>
        </w:rPr>
        <w:t>(Anesbury et al. 2016)</w:t>
      </w:r>
      <w:r>
        <w:rPr>
          <w:rFonts w:eastAsia="Times New Roman"/>
        </w:rPr>
        <w:fldChar w:fldCharType="end"/>
      </w:r>
      <w:r>
        <w:rPr>
          <w:rFonts w:eastAsia="Times New Roman"/>
        </w:rPr>
        <w:t xml:space="preserve">. For non-grocery online retailers, there also seems to be a consistent effect of position such that items positioned closer to the top of a list are more likely to enter the consideration set </w:t>
      </w:r>
      <w:r>
        <w:rPr>
          <w:rFonts w:eastAsia="Times New Roman"/>
        </w:rPr>
        <w:fldChar w:fldCharType="begin" w:fldLock="1"/>
      </w:r>
      <w:r w:rsidR="000630D1">
        <w:rPr>
          <w:rFonts w:eastAsia="Times New Roman"/>
        </w:rPr>
        <w:instrText>ADDIN CSL_CITATION {"citationItems":[{"id":"ITEM-1","itemData":{"DOI":"10.1080/10447310802335730","ISSN":"10447318","abstract":"One common information display design that appears in nearly all electronic shopping sites is product lists on Web pages. Many electronic shopping sites provide sorting functions for product quality attributes. However, the extant literature has not been particularly insightful on how consumers respond to product lists sorted in different orders (i.e., ascending, descending, and random). Despite the intuitive postulation that products appearing in an early position of a list may draw more attention, it is not evident whether and how different sorting of products in a list affect consumers' purchase decisions. The purpose of this research is to investigate how product sorting influences consumers' decision making. Specifically, the focus is on the effect of sorting by product quality attributes on the importance of quality and price in consumers' product choice and on the formation of their consideration set. Results from the experiment show that, when product quality and price are positively but not perfectly correlated, individuals perceive quality to be more important and they tend to include products with higher quality in their consideration set when they are exposed to a descending list than when they are exposed to a random or ascending list. Therefore, online vendors could apply descending sorting to promote the sales of high-quality products.","author":[{"dropping-particle":"","family":"Cai","given":"Shun","non-dropping-particle":"","parse-names":false,"suffix":""},{"dropping-particle":"","family":"Xu","given":"Yunjie","non-dropping-particle":"","parse-names":false,"suffix":""}],"container-title":"International Journal of Human-Computer Interaction","id":"ITEM-1","issue":"7","issued":{"date-parts":[["2008"]]},"page":"700-721","title":"Designing product lists for e-commerce: The effects of sorting on consumer decision making","type":"article-journal","volume":"24"},"uris":["http://www.mendeley.com/documents/?uuid=01755c94-82e2-48cd-a956-ccd8c5bec967"]},{"id":"ITEM-2","itemData":{"DOI":"10.1016/j.jretai.2008.09.007","ISSN":"00224359","abstract":"In the context of online comparison shopping, the phenomenon of order effect and its impact has profound theoretical and practical significance, as many search engines and shopping portals offer paid placement and paid inclusion in search results. In this study, we investigate how order effects and other market competitive factors work together to attract consumers' attention to online vendors, which is manifested by the time spent on collecting more vendor information, and the probability of a vendor being included in a consumer's consideration set. We found that the effect of serial position of a vendor in a list is mediated by consumers' attention which in turn affects the probability of the vendor being accepted. © 2008 New York University.","author":[{"dropping-particle":"","family":"Xu","given":"Yunjie (Calvin)","non-dropping-particle":"","parse-names":false,"suffix":""},{"dropping-particle":"","family":"Kim","given":"Hee Woong","non-dropping-particle":"","parse-names":false,"suffix":""}],"container-title":"Journal of Retailing","id":"ITEM-2","issue":"4","issued":{"date-parts":[["2008"]]},"page":"477-486","title":"Order Effect and Vendor Inspection in Online Comparison Shopping","type":"article-journal","volume":"84"},"uris":["http://www.mendeley.com/documents/?uuid=cd3399d8-0df2-47da-b888-abbc08edecb7"]}],"mendeley":{"formattedCitation":"(Cai and Xu 2008; Xu and Kim 2008)","plainTextFormattedCitation":"(Cai and Xu 2008; Xu and Kim 2008)","previouslyFormattedCitation":"(Cai and Xu 2008; Xu and Kim 2008)"},"properties":{"noteIndex":0},"schema":"https://github.com/citation-style-language/schema/raw/master/csl-citation.json"}</w:instrText>
      </w:r>
      <w:r>
        <w:rPr>
          <w:rFonts w:eastAsia="Times New Roman"/>
        </w:rPr>
        <w:fldChar w:fldCharType="separate"/>
      </w:r>
      <w:r w:rsidR="000630D1" w:rsidRPr="000630D1">
        <w:rPr>
          <w:rFonts w:eastAsia="Times New Roman"/>
          <w:noProof/>
        </w:rPr>
        <w:t>(Cai and Xu 2008; Xu and Kim 2008)</w:t>
      </w:r>
      <w:r>
        <w:rPr>
          <w:rFonts w:eastAsia="Times New Roman"/>
        </w:rPr>
        <w:fldChar w:fldCharType="end"/>
      </w:r>
      <w:r>
        <w:rPr>
          <w:rFonts w:eastAsia="Times New Roman"/>
        </w:rPr>
        <w:t xml:space="preserve">, more likely to be clicked </w:t>
      </w:r>
      <w:r>
        <w:rPr>
          <w:rFonts w:eastAsia="Times New Roman"/>
        </w:rPr>
        <w:fldChar w:fldCharType="begin" w:fldLock="1"/>
      </w:r>
      <w:r w:rsidR="000630D1">
        <w:rPr>
          <w:rFonts w:eastAsia="Times New Roman"/>
        </w:rPr>
        <w:instrText>ADDIN CSL_CITATION {"citationItems":[{"id":"ITEM-1","itemData":{"DOI":"10.1111/j.1083-6101.2006.00025.x","ISSN":"1083-6101","abstract":"As consumers and business increasingly use the Internet, understanding how and why users choose website links or email links becomes correspondingly important. Two recent articles report a monotonic effect of link order and clicking on a link; this means that the higher a link's position in a list of links, the greater the probability that visitors will click on that link. The difference in probability of clicking has important implications for designing webpage navigation for visitors. We report on two field experiments that confirm and extend these studies, showing the efficacy of the first link, a primacy effect. Visitors to a site, however, also show an increased tendency to click on links at the end of the list, a recency effect that previous studies failed to note. This article discusses the potential reasons for recency effects, and the implications of serial position effects more generally. (PsycINFO Database Record (c) 2012 APA, all rights reserved). (journal abstract)","author":[{"dropping-particle":"","family":"Murphy","given":"Jamie","non-dropping-particle":"","parse-names":false,"suffix":""},{"dropping-particle":"","family":"Hofacker","given":"Charles","non-dropping-particle":"","parse-names":false,"suffix":""},{"dropping-particle":"","family":"Mizerski","given":"Richard","non-dropping-particle":"","parse-names":false,"suffix":""}],"container-title":"Journal of Computer-Mediated Communication","id":"ITEM-1","issue":"2","issued":{"date-parts":[["2006"]]},"page":"522-535","title":"Primacy and Recency Effects on Clicking Behavior","type":"article-journal","volume":"11"},"uris":["http://www.mendeley.com/documents/?uuid=fc5d9978-d419-4022-96d0-3e6f9381a8ce"]}],"mendeley":{"formattedCitation":"(Murphy, Hofacker, and Mizerski 2006)","plainTextFormattedCitation":"(Murphy, Hofacker, and Mizerski 2006)","previouslyFormattedCitation":"(Murphy, Hofacker, and Mizerski 2006)"},"properties":{"noteIndex":0},"schema":"https://github.com/citation-style-language/schema/raw/master/csl-citation.json"}</w:instrText>
      </w:r>
      <w:r>
        <w:rPr>
          <w:rFonts w:eastAsia="Times New Roman"/>
        </w:rPr>
        <w:fldChar w:fldCharType="separate"/>
      </w:r>
      <w:r w:rsidR="000630D1" w:rsidRPr="000630D1">
        <w:rPr>
          <w:rFonts w:eastAsia="Times New Roman"/>
          <w:noProof/>
        </w:rPr>
        <w:t>(Murphy, Hofacker, and Mizerski 2006)</w:t>
      </w:r>
      <w:r>
        <w:rPr>
          <w:rFonts w:eastAsia="Times New Roman"/>
        </w:rPr>
        <w:fldChar w:fldCharType="end"/>
      </w:r>
      <w:r>
        <w:rPr>
          <w:rFonts w:eastAsia="Times New Roman"/>
        </w:rPr>
        <w:t xml:space="preserve">, and ultimately more likely to be chosen </w:t>
      </w:r>
      <w:r>
        <w:rPr>
          <w:rFonts w:eastAsia="Times New Roman"/>
        </w:rPr>
        <w:fldChar w:fldCharType="begin" w:fldLock="1"/>
      </w:r>
      <w:r w:rsidR="000630D1">
        <w:rPr>
          <w:rFonts w:eastAsia="Times New Roman"/>
        </w:rPr>
        <w:instrText>ADDIN CSL_CITATION {"citationItems":[{"id":"ITEM-1","itemData":{"DOI":"10.1287/isre.1050.0058","ISSN":"15265536","abstract":"With advances in tracking and database technologies, firms are increasingly able to understand their customers and translate this understanding into products and services that appeal to them. Technologies such as collaborative filtering, data mining, and click-stream analysis enable firms to customize their offerings at the individual level. While there has been a lot of hype about web personalization recently, our understanding of its effectiveness is far from conclusive. Drawing on the elaboration likelihood model (ELM) literature, this research takes the view that the interaction between a firm and its customers is one of communicating a persuasive message to the customers driven by business objectives. In particular, we examine three major elements of a web personalization strategy: level of preference matching, recommendation set size, and sorting cue. These elements can be manipulated by a firm in implementing its personalization strategy. This research also investigates a personal disposition, need for cognition, which plays a role in assessing the effectiveness of web personalization. Research hypotheses are tested using 1,000 subjects in three field experiments based on a ring-tone download website. Our findings indicate the saliency of these variables in different stages of the persuasion process. Theoretical and practical implications of the findings are discussed. © 2005 INFORMS.","author":[{"dropping-particle":"","family":"Tam","given":"Kar Yan","non-dropping-particle":"","parse-names":false,"suffix":""},{"dropping-particle":"","family":"Ho","given":"Shuk Ying","non-dropping-particle":"","parse-names":false,"suffix":""}],"container-title":"Information Systems Research","id":"ITEM-1","issue":"3","issued":{"date-parts":[["2005"]]},"page":"271-291","title":"Web personalization as a persuasion strategy: An elaboration likelihood model perspective","type":"article-journal","volume":"16"},"uris":["http://www.mendeley.com/documents/?uuid=637c4b7f-8d78-43d4-b27b-6d61b5bbc1ad"]}],"mendeley":{"formattedCitation":"(Tam and Ho 2005)","plainTextFormattedCitation":"(Tam and Ho 2005)","previouslyFormattedCitation":"(Tam and Ho 2005)"},"properties":{"noteIndex":0},"schema":"https://github.com/citation-style-language/schema/raw/master/csl-citation.json"}</w:instrText>
      </w:r>
      <w:r>
        <w:rPr>
          <w:rFonts w:eastAsia="Times New Roman"/>
        </w:rPr>
        <w:fldChar w:fldCharType="separate"/>
      </w:r>
      <w:r w:rsidR="000630D1" w:rsidRPr="000630D1">
        <w:rPr>
          <w:rFonts w:eastAsia="Times New Roman"/>
          <w:noProof/>
        </w:rPr>
        <w:t>(Tam and Ho 2005)</w:t>
      </w:r>
      <w:r>
        <w:rPr>
          <w:rFonts w:eastAsia="Times New Roman"/>
        </w:rPr>
        <w:fldChar w:fldCharType="end"/>
      </w:r>
      <w:r>
        <w:rPr>
          <w:rFonts w:eastAsia="Times New Roman"/>
        </w:rPr>
        <w:t xml:space="preserve">. In this study, we sought to replicate the effects of sorting using </w:t>
      </w:r>
      <w:r w:rsidR="00CB09F0">
        <w:rPr>
          <w:rFonts w:eastAsia="Times New Roman"/>
        </w:rPr>
        <w:t xml:space="preserve">the </w:t>
      </w:r>
      <w:r>
        <w:rPr>
          <w:rFonts w:eastAsia="Times New Roman"/>
        </w:rPr>
        <w:t xml:space="preserve">OSOG. We expected to observe an effect of product sorting on the healthfulness of the items in participants’ carts at checkout. </w:t>
      </w:r>
    </w:p>
    <w:p w14:paraId="2CAF4C62" w14:textId="77777777" w:rsidR="00436A78" w:rsidRPr="00E226B0" w:rsidRDefault="00436A78" w:rsidP="00436A78">
      <w:pPr>
        <w:spacing w:line="480" w:lineRule="auto"/>
        <w:rPr>
          <w:b/>
          <w:bCs/>
          <w:i/>
          <w:iCs/>
        </w:rPr>
      </w:pPr>
      <w:r w:rsidRPr="00E226B0">
        <w:rPr>
          <w:b/>
          <w:bCs/>
          <w:i/>
          <w:iCs/>
        </w:rPr>
        <w:t>Methods</w:t>
      </w:r>
    </w:p>
    <w:p w14:paraId="5C120C57" w14:textId="77777777" w:rsidR="00436A78" w:rsidRDefault="00436A78" w:rsidP="00436A78">
      <w:pPr>
        <w:spacing w:line="480" w:lineRule="auto"/>
        <w:ind w:firstLine="720"/>
      </w:pPr>
      <w:r>
        <w:t>We recruited 364 participants from Prolific (171 men, 186 women, 7 non-</w:t>
      </w:r>
      <w:proofErr w:type="gramStart"/>
      <w:r>
        <w:t>binary</w:t>
      </w:r>
      <w:proofErr w:type="gramEnd"/>
      <w:r>
        <w:t xml:space="preserve">; </w:t>
      </w:r>
      <w:r w:rsidRPr="00CD1D34">
        <w:rPr>
          <w:i/>
          <w:iCs/>
        </w:rPr>
        <w:t>M</w:t>
      </w:r>
      <w:r w:rsidRPr="00CD1D34">
        <w:rPr>
          <w:i/>
          <w:iCs/>
          <w:vertAlign w:val="subscript"/>
        </w:rPr>
        <w:t>age</w:t>
      </w:r>
      <w:r>
        <w:t xml:space="preserve"> = 31.30, </w:t>
      </w:r>
      <w:r w:rsidRPr="00CD1D34">
        <w:rPr>
          <w:i/>
          <w:iCs/>
        </w:rPr>
        <w:t>SD</w:t>
      </w:r>
      <w:r>
        <w:t xml:space="preserve"> = 10.62; 254 White, 22 Black, 39 Asian, 7 Southeast Asian, 17 Hispanic or Latinx, 1 </w:t>
      </w:r>
      <w:r>
        <w:lastRenderedPageBreak/>
        <w:t xml:space="preserve">Indigenous, 1 Pacific Islander, 20 bi- or multiracial, 3 other; </w:t>
      </w:r>
      <w:r w:rsidRPr="00CD1D34">
        <w:rPr>
          <w:i/>
          <w:iCs/>
        </w:rPr>
        <w:t>M</w:t>
      </w:r>
      <w:r>
        <w:rPr>
          <w:i/>
          <w:iCs/>
          <w:vertAlign w:val="subscript"/>
        </w:rPr>
        <w:t>BMI</w:t>
      </w:r>
      <w:r>
        <w:t xml:space="preserve"> = 25.35, </w:t>
      </w:r>
      <w:r w:rsidRPr="00CD1D34">
        <w:rPr>
          <w:i/>
          <w:iCs/>
        </w:rPr>
        <w:t>SD</w:t>
      </w:r>
      <w:r>
        <w:t xml:space="preserve"> = 6.79, excluding one participant who declined to answer).</w:t>
      </w:r>
    </w:p>
    <w:p w14:paraId="3B703D0C" w14:textId="77777777" w:rsidR="00436A78" w:rsidRDefault="00436A78" w:rsidP="00436A78">
      <w:pPr>
        <w:spacing w:line="480" w:lineRule="auto"/>
        <w:ind w:firstLine="720"/>
      </w:pPr>
      <w:r>
        <w:t>Participants were asked to use the Open Science Online Grocery to shop for groceries for the upcoming week. Instructions were the same as in prior experiments, including two participants winning the contents of their cart.</w:t>
      </w:r>
    </w:p>
    <w:p w14:paraId="5BE2CE39" w14:textId="365FBFDB" w:rsidR="00436A78" w:rsidRDefault="00436A78" w:rsidP="00436A78">
      <w:pPr>
        <w:spacing w:line="480" w:lineRule="auto"/>
        <w:ind w:firstLine="720"/>
      </w:pPr>
      <w:r>
        <w:t>Participants were randomly assigned to one of two versions of the Open Science Online Grocery. In the control condition, grocery items were organized randomly within each category. In the experimental condition, grocery items were organized by nutritional value with the most nutritious items being displayed at the top of each category. Specifically, items were ordered by the same star points algorithm used in Study 1. Across both conditions, participants were not shown front-of-package labels</w:t>
      </w:r>
      <w:r w:rsidR="009C3376">
        <w:t>, were able to use the built-in search function,</w:t>
      </w:r>
      <w:r>
        <w:t xml:space="preserve"> and were prompted to spend $35 before being able to check out. A glitch in the study allowed 13 participants to check out without meeting this minimum threshold. </w:t>
      </w:r>
    </w:p>
    <w:p w14:paraId="270E4AE2" w14:textId="77777777" w:rsidR="00436A78" w:rsidRDefault="00436A78" w:rsidP="00436A78">
      <w:pPr>
        <w:spacing w:line="480" w:lineRule="auto"/>
      </w:pPr>
      <w:r>
        <w:tab/>
        <w:t>After completing their hypothetical shopping, participants completed the same shopper profile, demographics, and debriefing as in Study 1.</w:t>
      </w:r>
    </w:p>
    <w:p w14:paraId="6A5B8256" w14:textId="77777777" w:rsidR="00436A78" w:rsidRPr="00452AC7" w:rsidRDefault="00436A78" w:rsidP="00436A78">
      <w:pPr>
        <w:spacing w:line="480" w:lineRule="auto"/>
        <w:rPr>
          <w:i/>
          <w:iCs/>
        </w:rPr>
      </w:pPr>
      <w:r w:rsidRPr="00452AC7">
        <w:rPr>
          <w:i/>
          <w:iCs/>
        </w:rPr>
        <w:t>Results</w:t>
      </w:r>
    </w:p>
    <w:p w14:paraId="53A40CF6" w14:textId="62508E08" w:rsidR="00436A78" w:rsidRDefault="00436A78" w:rsidP="00436A78">
      <w:pPr>
        <w:spacing w:line="480" w:lineRule="auto"/>
      </w:pPr>
      <w:r>
        <w:rPr>
          <w:b/>
          <w:bCs/>
        </w:rPr>
        <w:tab/>
      </w:r>
      <w:r w:rsidRPr="00452AC7">
        <w:rPr>
          <w:b/>
          <w:bCs/>
        </w:rPr>
        <w:t>Shopper Profile</w:t>
      </w:r>
      <w:r>
        <w:rPr>
          <w:b/>
          <w:bCs/>
        </w:rPr>
        <w:t xml:space="preserve">. </w:t>
      </w:r>
      <w:proofErr w:type="gramStart"/>
      <w:r>
        <w:t>The majority of</w:t>
      </w:r>
      <w:proofErr w:type="gramEnd"/>
      <w:r>
        <w:t xml:space="preserve"> participants imagined shopping for themselves (30.8%) or themselves and another person (30.5%). On average, participants reported purchasing similar items to their typical grocery shopping trip (</w:t>
      </w:r>
      <w:r w:rsidRPr="00F66DA2">
        <w:rPr>
          <w:i/>
          <w:iCs/>
        </w:rPr>
        <w:t>M</w:t>
      </w:r>
      <w:r>
        <w:t xml:space="preserve"> = 5.88/7.00, </w:t>
      </w:r>
      <w:r w:rsidRPr="00F66DA2">
        <w:rPr>
          <w:i/>
          <w:iCs/>
        </w:rPr>
        <w:t>SD</w:t>
      </w:r>
      <w:r>
        <w:t xml:space="preserve"> = 1.13); purchase typicality did not differ across conditions, </w:t>
      </w:r>
      <w:proofErr w:type="gramStart"/>
      <w:r w:rsidRPr="00F66DA2">
        <w:rPr>
          <w:i/>
          <w:iCs/>
        </w:rPr>
        <w:t>t</w:t>
      </w:r>
      <w:r>
        <w:t>(</w:t>
      </w:r>
      <w:proofErr w:type="gramEnd"/>
      <w:r>
        <w:t xml:space="preserve">362) = .52, </w:t>
      </w:r>
      <w:r w:rsidRPr="00F66DA2">
        <w:rPr>
          <w:i/>
          <w:iCs/>
        </w:rPr>
        <w:t>p</w:t>
      </w:r>
      <w:r>
        <w:t xml:space="preserve"> = .60.  </w:t>
      </w:r>
    </w:p>
    <w:p w14:paraId="73BFF010" w14:textId="31692718" w:rsidR="007C1620" w:rsidRPr="00B830CA" w:rsidRDefault="00436A78" w:rsidP="007C1620">
      <w:pPr>
        <w:spacing w:line="480" w:lineRule="auto"/>
        <w:rPr>
          <w:b/>
          <w:bCs/>
          <w:i/>
          <w:iCs/>
        </w:rPr>
      </w:pPr>
      <w:r w:rsidRPr="005F4364">
        <w:rPr>
          <w:b/>
          <w:bCs/>
          <w:i/>
          <w:iCs/>
        </w:rPr>
        <w:tab/>
        <w:t>Primary Results</w:t>
      </w:r>
      <w:r>
        <w:rPr>
          <w:b/>
          <w:bCs/>
          <w:i/>
          <w:iCs/>
        </w:rPr>
        <w:t>.</w:t>
      </w:r>
      <w:r>
        <w:t xml:space="preserve"> Participants in the experimental re-ordering condition purchased items with fewer calories, less </w:t>
      </w:r>
      <w:proofErr w:type="spellStart"/>
      <w:r>
        <w:t>trans fat</w:t>
      </w:r>
      <w:proofErr w:type="spellEnd"/>
      <w:r>
        <w:t xml:space="preserve">, fewer carbohydrates, less sugar, and more star points than participants in the control condition, all </w:t>
      </w:r>
      <w:proofErr w:type="spellStart"/>
      <w:r w:rsidRPr="00C90C94">
        <w:rPr>
          <w:i/>
          <w:iCs/>
        </w:rPr>
        <w:t>p</w:t>
      </w:r>
      <w:r>
        <w:t>s</w:t>
      </w:r>
      <w:proofErr w:type="spellEnd"/>
      <w:r>
        <w:t xml:space="preserve">&lt; .03. Several other micro- and macronutrients </w:t>
      </w:r>
      <w:r>
        <w:lastRenderedPageBreak/>
        <w:t>(saturated fat</w:t>
      </w:r>
      <w:r w:rsidRPr="00E226B0">
        <w:t xml:space="preserve">, cholesterol, sodium) trended in the expected direction, all </w:t>
      </w:r>
      <w:proofErr w:type="spellStart"/>
      <w:r w:rsidRPr="00E226B0">
        <w:rPr>
          <w:i/>
          <w:iCs/>
        </w:rPr>
        <w:t>p</w:t>
      </w:r>
      <w:r w:rsidRPr="00E226B0">
        <w:t>s</w:t>
      </w:r>
      <w:proofErr w:type="spellEnd"/>
      <w:r w:rsidRPr="00E226B0">
        <w:t xml:space="preserve"> &lt; .08. Full results can be found in Table </w:t>
      </w:r>
      <w:r w:rsidR="00B830CA">
        <w:t>3</w:t>
      </w:r>
      <w:r w:rsidRPr="00E226B0">
        <w:t>.</w:t>
      </w:r>
      <w:r>
        <w:t xml:space="preserve"> </w:t>
      </w:r>
    </w:p>
    <w:p w14:paraId="4F7DEB0E" w14:textId="0F7BAFAA" w:rsidR="00436A78" w:rsidRDefault="007C1620" w:rsidP="007C1620">
      <w:pPr>
        <w:spacing w:line="480" w:lineRule="auto"/>
        <w:rPr>
          <w:rFonts w:eastAsia="Times New Roman"/>
          <w:b/>
          <w:bCs/>
          <w:i/>
          <w:iCs/>
        </w:rPr>
      </w:pPr>
      <w:r w:rsidRPr="00E226B0">
        <w:rPr>
          <w:rFonts w:eastAsia="Times New Roman"/>
          <w:b/>
          <w:bCs/>
          <w:i/>
          <w:iCs/>
        </w:rPr>
        <w:t>Discussion</w:t>
      </w:r>
    </w:p>
    <w:p w14:paraId="6C4E9848" w14:textId="0C91B37A" w:rsidR="007B5116" w:rsidRDefault="007C1620" w:rsidP="00FB2265">
      <w:pPr>
        <w:spacing w:line="480" w:lineRule="auto"/>
        <w:rPr>
          <w:rFonts w:eastAsia="Times New Roman"/>
          <w:b/>
          <w:bCs/>
        </w:rPr>
      </w:pPr>
      <w:r>
        <w:rPr>
          <w:rFonts w:eastAsia="Times New Roman"/>
        </w:rPr>
        <w:tab/>
        <w:t xml:space="preserve">In this study, we find that changing the default sorting to present healthier items first results in overall healthier purchases (compared to a randomly ordered store). This effect is particularly notable given that OSOG has a search function. If participants knew exactly what they were looking for, they would have searched the items and the within-page sorting would not have affected their purchases.  The observed effect of within-page sorting on purchase behavior replicates visibility findings from brick-and-mortar retailers  </w:t>
      </w:r>
      <w:r>
        <w:rPr>
          <w:rFonts w:eastAsia="Times New Roman"/>
        </w:rPr>
        <w:fldChar w:fldCharType="begin" w:fldLock="1"/>
      </w:r>
      <w:r w:rsidR="000630D1">
        <w:rPr>
          <w:rFonts w:eastAsia="Times New Roman"/>
        </w:rPr>
        <w:instrText>ADDIN CSL_CITATION {"citationItems":[{"id":"ITEM-1","itemData":{"DOI":"10.1287/mksc.2018.1128","ISBN":"0000000256","ISSN":"1526548X","abstract":"We examine the effectiveness in field settings of seven healthy eating nudges, clas sified according to whether they are (1) cognitively oriented, such as “descriptive nutritional labeling,” “evaluative nutritional labeling,” or “visibility enhancements”; (2) affectively oriented, such as “hedonic enhancements or “healthy eating calls”; or (3) behaviorally oriented, such as “convenience enhancements” or “size enhancements.” Our multivariate, three-level meta-analysis of 299 effect sizes, controlling for eating behavior, population, and study characteristics, yields a standardized mean difference (Cohen’s d)of0.23(equivalentto−124 kcal/day). Effect sizes increase as the focus of the nudges shifts from cognition (d =0.12,−64 kcal) to affect (d = 0.24, −129 kcal) to behavior (d = 0.39, −209 kcal). Interventions are more effective at reducing unhealthy eating than increasing healthy eating or reducing total eating. Effect sizes are larger in the United States than in other countries, in restaurants or cafeterias than in grocery stores, and in studies including a control group. Effect sizes are similar for food selection versus consumption and for children versus adults and are independent of study duration. Compared with the typical nudge study (d = 0.12), one implementing the best nudge scenario can expect a sixfold increase in effectiveness (to d = 0.74) with half theresultofswitchingfromcognitivelyoriented to behaviorally oriented nudges.","author":[{"dropping-particle":"","family":"Cadario","given":"Romain","non-dropping-particle":"","parse-names":false,"suffix":""},{"dropping-particle":"","family":"Chandon","given":"Pierre","non-dropping-particle":"","parse-names":false,"suffix":""}],"container-title":"Marketing Science","id":"ITEM-1","issue":"3","issued":{"date-parts":[["2020"]]},"page":"465-486","title":"Which healthy eating nudges work best? A meta-analysis of field experiments","type":"article-journal","volume":"39"},"uris":["http://www.mendeley.com/documents/?uuid=ce1e4f49-291c-49c9-8ca7-3b45a3a57a7b"]},{"id":"ITEM-2","itemData":{"DOI":"10.1017/S0007114516001653","ISBN":"0007114516","ISSN":"14752662","PMID":"27185414","abstract":"Nudging or 'choice architecture' refers to strategic changes in the environment that are anticipated to alter people's behaviour in a predictable way, without forbidding any options or significantly changing their economic incentives. Nudging strategies may be used to promote healthy eating behaviour. However, to date, the scientific evidence has not been systematically reviewed to enable practitioners and policymakers to implement, or argue for the implementation of, specific measures to support nudging strategies. This systematic review investigated the effect of positional changes of food placement on food choice. In total, seven scientific databases were searched using relevant keywords to identify interventions that manipulated food position (proximity or order) to generate a change in food selection, sales or consumption, among normal-weight or overweight individuals across any age group. From 2576 identified articles, fifteen articles comprising eighteen studies met our inclusion criteria. This review has identified that manipulation of food product order or proximity can influence food choice. Such approaches offer promise in terms of impacting on consumer behaviour. However, there is a need for high-quality studies that quantify the magnitude of positional effects on food choice in conjunction with measuring the impact on food intake, particularly in the longer term. Future studies should use outcome measures such as change in grams of food consumed or energy intake to quantify the impact on dietary intake and potential impacts on nutrition-related health. Research is also needed to evaluate potential compensatory behaviours secondary to such interventions.","author":[{"dropping-particle":"","family":"Bucher","given":"Tamara","non-dropping-particle":"","parse-names":false,"suffix":""},{"dropping-particle":"","family":"Collins","given":"Clare","non-dropping-particle":"","parse-names":false,"suffix":""},{"dropping-particle":"","family":"Rollo","given":"Megan E.","non-dropping-particle":"","parse-names":false,"suffix":""},{"dropping-particle":"","family":"McCaffrey","given":"Tracy A.","non-dropping-particle":"","parse-names":false,"suffix":""},{"dropping-particle":"","family":"Vlieger","given":"Nienke","non-dropping-particle":"De","parse-names":false,"suffix":""},{"dropping-particle":"","family":"Bend","given":"Daphne","non-dropping-particle":"Van Der","parse-names":false,"suffix":""},{"dropping-particle":"","family":"Truby","given":"Helen","non-dropping-particle":"","parse-names":false,"suffix":""},{"dropping-particle":"","family":"Perez-Cueto","given":"Federico J.A.","non-dropping-particle":"","parse-names":false,"suffix":""}],"container-title":"British Journal of Nutrition","id":"ITEM-2","issue":"12","issued":{"date-parts":[["2016"]]},"page":"2252-2263","title":"Nudging consumers towards healthier choices: A systematic review of positional influences on food choice","type":"article-journal","volume":"115"},"uris":["http://www.mendeley.com/documents/?uuid=c0764c76-d523-4653-bc72-1cebd2520593"]}],"mendeley":{"formattedCitation":"(Bucher et al. 2016; Cadario and Chandon 2020)","plainTextFormattedCitation":"(Bucher et al. 2016; Cadario and Chandon 2020)","previouslyFormattedCitation":"(Bucher et al. 2016; Cadario and Chandon 2020)"},"properties":{"noteIndex":0},"schema":"https://github.com/citation-style-language/schema/raw/master/csl-citation.json"}</w:instrText>
      </w:r>
      <w:r>
        <w:rPr>
          <w:rFonts w:eastAsia="Times New Roman"/>
        </w:rPr>
        <w:fldChar w:fldCharType="separate"/>
      </w:r>
      <w:r w:rsidR="000630D1" w:rsidRPr="000630D1">
        <w:rPr>
          <w:rFonts w:eastAsia="Times New Roman"/>
          <w:noProof/>
        </w:rPr>
        <w:t>(Bucher et al. 2016; Cadario and Chandon 2020)</w:t>
      </w:r>
      <w:r>
        <w:rPr>
          <w:rFonts w:eastAsia="Times New Roman"/>
        </w:rPr>
        <w:fldChar w:fldCharType="end"/>
      </w:r>
      <w:r>
        <w:rPr>
          <w:rFonts w:eastAsia="Times New Roman"/>
        </w:rPr>
        <w:t xml:space="preserve"> and replicates page sorting findings from non-grocery retailers </w:t>
      </w:r>
      <w:r>
        <w:rPr>
          <w:rFonts w:eastAsia="Times New Roman"/>
        </w:rPr>
        <w:fldChar w:fldCharType="begin" w:fldLock="1"/>
      </w:r>
      <w:r w:rsidR="000630D1">
        <w:rPr>
          <w:rFonts w:eastAsia="Times New Roman"/>
        </w:rPr>
        <w:instrText>ADDIN CSL_CITATION {"citationItems":[{"id":"ITEM-1","itemData":{"DOI":"10.1287/isre.1050.0058","ISSN":"15265536","abstract":"With advances in tracking and database technologies, firms are increasingly able to understand their customers and translate this understanding into products and services that appeal to them. Technologies such as collaborative filtering, data mining, and click-stream analysis enable firms to customize their offerings at the individual level. While there has been a lot of hype about web personalization recently, our understanding of its effectiveness is far from conclusive. Drawing on the elaboration likelihood model (ELM) literature, this research takes the view that the interaction between a firm and its customers is one of communicating a persuasive message to the customers driven by business objectives. In particular, we examine three major elements of a web personalization strategy: level of preference matching, recommendation set size, and sorting cue. These elements can be manipulated by a firm in implementing its personalization strategy. This research also investigates a personal disposition, need for cognition, which plays a role in assessing the effectiveness of web personalization. Research hypotheses are tested using 1,000 subjects in three field experiments based on a ring-tone download website. Our findings indicate the saliency of these variables in different stages of the persuasion process. Theoretical and practical implications of the findings are discussed. © 2005 INFORMS.","author":[{"dropping-particle":"","family":"Tam","given":"Kar Yan","non-dropping-particle":"","parse-names":false,"suffix":""},{"dropping-particle":"","family":"Ho","given":"Shuk Ying","non-dropping-particle":"","parse-names":false,"suffix":""}],"container-title":"Information Systems Research","id":"ITEM-1","issue":"3","issued":{"date-parts":[["2005"]]},"page":"271-291","title":"Web personalization as a persuasion strategy: An elaboration likelihood model perspective","type":"article-journal","volume":"16"},"uris":["http://www.mendeley.com/documents/?uuid=637c4b7f-8d78-43d4-b27b-6d61b5bbc1ad"]}],"mendeley":{"formattedCitation":"(Tam and Ho 2005)","plainTextFormattedCitation":"(Tam and Ho 2005)","previouslyFormattedCitation":"(Tam and Ho 2005)"},"properties":{"noteIndex":0},"schema":"https://github.com/citation-style-language/schema/raw/master/csl-citation.json"}</w:instrText>
      </w:r>
      <w:r>
        <w:rPr>
          <w:rFonts w:eastAsia="Times New Roman"/>
        </w:rPr>
        <w:fldChar w:fldCharType="separate"/>
      </w:r>
      <w:r w:rsidR="000630D1" w:rsidRPr="000630D1">
        <w:rPr>
          <w:rFonts w:eastAsia="Times New Roman"/>
          <w:noProof/>
        </w:rPr>
        <w:t>(Tam and Ho 2005)</w:t>
      </w:r>
      <w:r>
        <w:rPr>
          <w:rFonts w:eastAsia="Times New Roman"/>
        </w:rPr>
        <w:fldChar w:fldCharType="end"/>
      </w:r>
      <w:r>
        <w:rPr>
          <w:rFonts w:eastAsia="Times New Roman"/>
        </w:rPr>
        <w:t>.</w:t>
      </w:r>
      <w:r w:rsidR="007B5116">
        <w:rPr>
          <w:rFonts w:eastAsia="Times New Roman"/>
        </w:rPr>
        <w:t xml:space="preserve"> </w:t>
      </w:r>
    </w:p>
    <w:p w14:paraId="375736CC" w14:textId="7EC2452C" w:rsidR="00124D93" w:rsidRDefault="00124D93" w:rsidP="00EC33F7">
      <w:pPr>
        <w:spacing w:line="480" w:lineRule="auto"/>
        <w:rPr>
          <w:rFonts w:eastAsia="Times New Roman"/>
        </w:rPr>
      </w:pPr>
      <w:r>
        <w:rPr>
          <w:rFonts w:eastAsia="Times New Roman"/>
        </w:rPr>
        <w:tab/>
        <w:t xml:space="preserve">In our final illustration, we </w:t>
      </w:r>
      <w:r w:rsidR="00CB09F0">
        <w:rPr>
          <w:rFonts w:eastAsia="Times New Roman"/>
        </w:rPr>
        <w:t>investigate</w:t>
      </w:r>
      <w:r w:rsidR="00087995">
        <w:rPr>
          <w:rFonts w:eastAsia="Times New Roman"/>
        </w:rPr>
        <w:t xml:space="preserve"> whether creating curated product categories of healthy foods (</w:t>
      </w:r>
      <w:proofErr w:type="gramStart"/>
      <w:r w:rsidR="00087995">
        <w:rPr>
          <w:rFonts w:eastAsia="Times New Roman"/>
        </w:rPr>
        <w:t>similar to</w:t>
      </w:r>
      <w:proofErr w:type="gramEnd"/>
      <w:r w:rsidR="00087995">
        <w:rPr>
          <w:rFonts w:eastAsia="Times New Roman"/>
        </w:rPr>
        <w:t xml:space="preserve"> having a “healthy” section of a brick-and-mortar store) would affect consumer behavior. </w:t>
      </w:r>
    </w:p>
    <w:p w14:paraId="5B6A1196" w14:textId="77777777" w:rsidR="00087995" w:rsidRDefault="00087995" w:rsidP="00087995">
      <w:pPr>
        <w:spacing w:line="480" w:lineRule="auto"/>
        <w:rPr>
          <w:rFonts w:eastAsia="Times New Roman"/>
          <w:b/>
          <w:bCs/>
        </w:rPr>
      </w:pPr>
    </w:p>
    <w:p w14:paraId="4FE2AE90" w14:textId="2ACC51AB" w:rsidR="007B5116" w:rsidRPr="00C94351" w:rsidRDefault="00087995" w:rsidP="00C94351">
      <w:pPr>
        <w:spacing w:line="480" w:lineRule="auto"/>
        <w:rPr>
          <w:rFonts w:eastAsia="Times New Roman"/>
          <w:b/>
          <w:bCs/>
        </w:rPr>
      </w:pPr>
      <w:r w:rsidRPr="00C94351">
        <w:rPr>
          <w:rFonts w:eastAsia="Times New Roman"/>
          <w:b/>
          <w:bCs/>
        </w:rPr>
        <w:t>ILLUSTRATION I</w:t>
      </w:r>
      <w:r w:rsidR="009C3376">
        <w:rPr>
          <w:rFonts w:eastAsia="Times New Roman"/>
          <w:b/>
          <w:bCs/>
        </w:rPr>
        <w:t>II</w:t>
      </w:r>
      <w:r w:rsidRPr="00C94351">
        <w:rPr>
          <w:rFonts w:eastAsia="Times New Roman"/>
          <w:b/>
          <w:bCs/>
        </w:rPr>
        <w:t>: CATEGORICAL ORGANIZATION WITHIN THE STORE</w:t>
      </w:r>
    </w:p>
    <w:p w14:paraId="76049C8C" w14:textId="17402EA5" w:rsidR="0011715C" w:rsidRDefault="00087995" w:rsidP="00FB2265">
      <w:pPr>
        <w:spacing w:line="480" w:lineRule="auto"/>
        <w:rPr>
          <w:rFonts w:eastAsia="Times New Roman"/>
        </w:rPr>
      </w:pPr>
      <w:r>
        <w:rPr>
          <w:rFonts w:eastAsia="Times New Roman"/>
          <w:b/>
          <w:bCs/>
        </w:rPr>
        <w:tab/>
      </w:r>
      <w:r w:rsidR="0016095A" w:rsidRPr="0016095A">
        <w:rPr>
          <w:rFonts w:eastAsia="Times New Roman"/>
        </w:rPr>
        <w:t>In the OSOG,</w:t>
      </w:r>
      <w:r w:rsidR="0016095A">
        <w:rPr>
          <w:rFonts w:eastAsia="Times New Roman"/>
          <w:b/>
          <w:bCs/>
        </w:rPr>
        <w:t xml:space="preserve"> </w:t>
      </w:r>
      <w:r w:rsidR="0016095A" w:rsidRPr="0016095A">
        <w:rPr>
          <w:rFonts w:eastAsia="Times New Roman"/>
        </w:rPr>
        <w:t xml:space="preserve">researchers can curate a custom category. </w:t>
      </w:r>
      <w:r w:rsidR="00ED76A4">
        <w:rPr>
          <w:rFonts w:eastAsia="Times New Roman"/>
        </w:rPr>
        <w:t>In this experiment, we created a category that</w:t>
      </w:r>
      <w:r w:rsidR="0016095A" w:rsidRPr="0016095A">
        <w:rPr>
          <w:rFonts w:eastAsia="Times New Roman"/>
        </w:rPr>
        <w:t xml:space="preserve"> contain</w:t>
      </w:r>
      <w:r w:rsidR="00ED76A4">
        <w:rPr>
          <w:rFonts w:eastAsia="Times New Roman"/>
        </w:rPr>
        <w:t>ed</w:t>
      </w:r>
      <w:r w:rsidR="0016095A" w:rsidRPr="0016095A">
        <w:rPr>
          <w:rFonts w:eastAsia="Times New Roman"/>
        </w:rPr>
        <w:t xml:space="preserve"> only the healthiest products in the store.</w:t>
      </w:r>
      <w:r w:rsidR="0016095A">
        <w:rPr>
          <w:rFonts w:eastAsia="Times New Roman"/>
          <w:b/>
          <w:bCs/>
        </w:rPr>
        <w:t xml:space="preserve"> </w:t>
      </w:r>
      <w:proofErr w:type="gramStart"/>
      <w:r w:rsidR="0011715C">
        <w:rPr>
          <w:rFonts w:eastAsia="Times New Roman"/>
        </w:rPr>
        <w:t>By definition, curating</w:t>
      </w:r>
      <w:proofErr w:type="gramEnd"/>
      <w:r w:rsidR="0011715C">
        <w:rPr>
          <w:rFonts w:eastAsia="Times New Roman"/>
        </w:rPr>
        <w:t xml:space="preserve"> a category </w:t>
      </w:r>
      <w:r w:rsidR="00ED76A4">
        <w:rPr>
          <w:rFonts w:eastAsia="Times New Roman"/>
        </w:rPr>
        <w:t>allows</w:t>
      </w:r>
      <w:r w:rsidR="0011715C">
        <w:rPr>
          <w:rFonts w:eastAsia="Times New Roman"/>
        </w:rPr>
        <w:t xml:space="preserve"> consumers </w:t>
      </w:r>
      <w:r w:rsidR="00ED76A4">
        <w:rPr>
          <w:rFonts w:eastAsia="Times New Roman"/>
        </w:rPr>
        <w:t xml:space="preserve">to opt-in to a limited </w:t>
      </w:r>
      <w:r w:rsidR="0011715C">
        <w:rPr>
          <w:rFonts w:eastAsia="Times New Roman"/>
        </w:rPr>
        <w:t xml:space="preserve">consideration set. For example, rather than choosing among all the available soups, consumers are limiting themselves to only the healthiest soups. </w:t>
      </w:r>
    </w:p>
    <w:p w14:paraId="217892C2" w14:textId="17C5BF50" w:rsidR="00E53BAD" w:rsidRDefault="0011715C" w:rsidP="00E53BAD">
      <w:pPr>
        <w:spacing w:line="480" w:lineRule="auto"/>
        <w:ind w:firstLine="720"/>
        <w:rPr>
          <w:rFonts w:eastAsia="Times New Roman"/>
        </w:rPr>
      </w:pPr>
      <w:r>
        <w:rPr>
          <w:rFonts w:eastAsia="Times New Roman"/>
        </w:rPr>
        <w:t xml:space="preserve">We expect that </w:t>
      </w:r>
      <w:r w:rsidR="00ED76A4">
        <w:rPr>
          <w:rFonts w:eastAsia="Times New Roman"/>
        </w:rPr>
        <w:t>a curated category</w:t>
      </w:r>
      <w:r>
        <w:rPr>
          <w:rFonts w:eastAsia="Times New Roman"/>
        </w:rPr>
        <w:t xml:space="preserve"> </w:t>
      </w:r>
      <w:r w:rsidR="00ED76A4">
        <w:rPr>
          <w:rFonts w:eastAsia="Times New Roman"/>
        </w:rPr>
        <w:t>would</w:t>
      </w:r>
      <w:r>
        <w:rPr>
          <w:rFonts w:eastAsia="Times New Roman"/>
        </w:rPr>
        <w:t xml:space="preserve"> improve consumer choice for a variety of reasons.  First, consumers experience less choice overload, and are more motivated to actually </w:t>
      </w:r>
      <w:r>
        <w:rPr>
          <w:rFonts w:eastAsia="Times New Roman"/>
        </w:rPr>
        <w:lastRenderedPageBreak/>
        <w:t xml:space="preserve">purchase from small versus large assortments </w:t>
      </w:r>
      <w:r>
        <w:rPr>
          <w:rFonts w:eastAsia="Times New Roman"/>
        </w:rPr>
        <w:fldChar w:fldCharType="begin" w:fldLock="1"/>
      </w:r>
      <w:r w:rsidR="000630D1">
        <w:rPr>
          <w:rFonts w:eastAsia="Times New Roman"/>
        </w:rPr>
        <w:instrText>ADDIN CSL_CITATION {"citationItems":[{"id":"ITEM-1","itemData":{"DOI":"10.1037/0022-3514.79.6.995","ISBN":"00223514","ISSN":"00223514","PMID":"11138768","abstract":"Current psychological theory and research affirm the positive affective and motivational consequences of having personal choice. These findings have led to the popular notion that the more choice, the better-that the human ability to manage, and the human desire for, choice is unlimited. Findings from 3 experimental studies starkly challenge this implicit assumption that having more choices is necessarily more intrinsically motivating than having fewer. These experiments, which were conducted in both field and laboratory settings, show that people are more likely to purchase gourmet jams or chocolates or to undertake optional class essay assignments when offered a limited array of 6 choices rather than a more extensive array of 24 or 30 choices. Moreover, participants actually reported greater subsequent satisfaction with their selections and wrote better essays when their original set of options had been limited. Implications for future research are discussed.","author":[{"dropping-particle":"","family":"Iyengar","given":"Sheena S.","non-dropping-particle":"","parse-names":false,"suffix":""},{"dropping-particle":"","family":"Lepper","given":"Mark R.","non-dropping-particle":"","parse-names":false,"suffix":""}],"container-title":"Journal of Personality and Social Psychology","id":"ITEM-1","issue":"6","issued":{"date-parts":[["2000"]]},"page":"995-1006","title":"When choice is demotivating: Can one desire too much of a good thing?","type":"article-journal","volume":"79"},"uris":["http://www.mendeley.com/documents/?uuid=138a1f7b-2989-4ee1-97e2-9607109b150c"]},{"id":"ITEM-2","itemData":{"DOI":"10.1509/jmkg.65.3.50.18330","ISSN":"00222429","abstract":"Most supermarket categories are cluttered with items, or stockkeeping units (SKUs), that differ very little at the attribute level. Previous research has found that reductions (up to 54%) in the number of low-selling SKUs need not affect perceptions of variety and therefore sales, significantly. In this research, the authors analyze data from a natural experiment conducted by an online grocer, in which 94% of the categories experienced dramatic cuts in the number of SKUs offered, particularly low-selling SKUs. Sales were indeed affected dramatically, increasing an average of 11% across the 42 categories examined. Sales rose in more than two-thirds of these categories, nearly half of which experienced an increase of 10% or more; 75% of households increased their overall expenditures after the cut in SKUs. In turn, the authors examine how different types of SKU reductions - defined by how the cuts affect the available attributes or features of a category (e.g., the number of brands) - affected purchase behavior differently. The results indicate that consumers experienced divergent reactions to the reduction in sizes, but they uniformly welcomed the elimination of clutter brought on by the reduction in redundant items. In addition, of households that were loyal to a single brand, size, or brand-size combination that was eliminated, nearly half continued purchasing within the category. Also, contrary to previous research on SKU reductions, the authors find that category sales depend on the total number of SKUs offered. The authors extend the previous research by showing that (1) category sales depend on the availability of key product and category attributes and (2) two particularly important attributes to consumers in an assortment are brand and flavor.","author":[{"dropping-particle":"","family":"Boatwright","given":"Peter","non-dropping-particle":"","parse-names":false,"suffix":""},{"dropping-particle":"","family":"Nunes","given":"Joseph C.","non-dropping-particle":"","parse-names":false,"suffix":""}],"container-title":"Journal of Marketing","id":"ITEM-2","issue":"3","issued":{"date-parts":[["2001"]]},"page":"50-63","title":"Reducing assortment: An attribute-based approach","type":"article-journal","volume":"65"},"uris":["http://www.mendeley.com/documents/?uuid=5b939ae2-9ce4-4afa-9858-2217dc9d22c8"]}],"mendeley":{"formattedCitation":"(Boatwright and Nunes 2001; Iyengar and Lepper 2000)","plainTextFormattedCitation":"(Boatwright and Nunes 2001; Iyengar and Lepper 2000)","previouslyFormattedCitation":"(Boatwright and Nunes 2001; Iyengar and Lepper 2000)"},"properties":{"noteIndex":0},"schema":"https://github.com/citation-style-language/schema/raw/master/csl-citation.json"}</w:instrText>
      </w:r>
      <w:r>
        <w:rPr>
          <w:rFonts w:eastAsia="Times New Roman"/>
        </w:rPr>
        <w:fldChar w:fldCharType="separate"/>
      </w:r>
      <w:r w:rsidR="000630D1" w:rsidRPr="000630D1">
        <w:rPr>
          <w:rFonts w:eastAsia="Times New Roman"/>
          <w:noProof/>
        </w:rPr>
        <w:t>(Boatwright and Nunes 2001; Iyengar and Lepper 2000)</w:t>
      </w:r>
      <w:r>
        <w:rPr>
          <w:rFonts w:eastAsia="Times New Roman"/>
        </w:rPr>
        <w:fldChar w:fldCharType="end"/>
      </w:r>
      <w:r>
        <w:rPr>
          <w:rFonts w:eastAsia="Times New Roman"/>
        </w:rPr>
        <w:t xml:space="preserve">. </w:t>
      </w:r>
      <w:r w:rsidR="00ED76A4">
        <w:rPr>
          <w:rFonts w:eastAsia="Times New Roman"/>
        </w:rPr>
        <w:t xml:space="preserve">For example, a consumer who is curious about veggie burgers might have been overwhelmed by the large selection in the standard store. However, she may find it easier to make a purchase decision if choosing from a limited set of only the healthiest veggie burgers. Second, </w:t>
      </w:r>
      <w:r w:rsidR="00EE7BCB">
        <w:rPr>
          <w:rFonts w:eastAsia="Times New Roman"/>
        </w:rPr>
        <w:t>creating a curated category reduces consumers’ search costs</w:t>
      </w:r>
      <w:r w:rsidR="00037574">
        <w:rPr>
          <w:rFonts w:eastAsia="Times New Roman"/>
        </w:rPr>
        <w:t>.</w:t>
      </w:r>
      <w:r w:rsidR="00EE7BCB">
        <w:rPr>
          <w:rFonts w:eastAsia="Times New Roman"/>
        </w:rPr>
        <w:t xml:space="preserve"> </w:t>
      </w:r>
      <w:r w:rsidR="00E53BAD">
        <w:rPr>
          <w:rFonts w:eastAsia="Times New Roman"/>
        </w:rPr>
        <w:t xml:space="preserve">When searching among large assortments, consumers often eliminate options that do not meet minimum criteria </w:t>
      </w:r>
      <w:r w:rsidR="00E53BAD">
        <w:rPr>
          <w:rFonts w:eastAsia="Times New Roman"/>
        </w:rPr>
        <w:fldChar w:fldCharType="begin" w:fldLock="1"/>
      </w:r>
      <w:r w:rsidR="000630D1">
        <w:rPr>
          <w:rFonts w:eastAsia="Times New Roman"/>
        </w:rPr>
        <w:instrText>ADDIN CSL_CITATION {"citationItems":[{"id":"ITEM-1","itemData":{"DOI":"10.1086/209535","ISBN":"0093-5301","ISSN":"0093-5301","PMID":"1433404","abstract":"Consumer decision making has been a focal interest in consumer research, and consideration of current marketplace trends (e.g., technological change, an information explosion) indicates that this topic will continue to be critically important. We argue that consumer choice is inherently constructive. Due to limited processing capacity, consumers often do not have well-defined existing preferences, but construct them using a variety of strategies contingent on task demands. After describing constructive choice, consumer decision tasks, and decision strategies, we provide an integrative framework for understanding constructive choice, review evidence for constructive consumer choice in light of that framework, and identify knowledge gaps that suggest opportunities for additional research.","author":[{"dropping-particle":"","family":"Bettman","given":"James R","non-dropping-particle":"","parse-names":false,"suffix":""},{"dropping-particle":"","family":"Luce","given":"Mary Frances","non-dropping-particle":"","parse-names":false,"suffix":""},{"dropping-particle":"","family":"Payne","given":"John W","non-dropping-particle":"","parse-names":false,"suffix":""}],"container-title":"Journal of Consumer Research","id":"ITEM-1","issue":"3","issued":{"date-parts":[["1998"]]},"note":"Constructive Preferences: People do not have pre-determined preferences, nor do they use weighted adding models when making decisions. Consumers appear to use a variety of approaches, developed on the spot (leading to context dependent preferences). Preferences may be constrcuted because people lack the cognitive resources to generate well-defined preferences or because they have multiple competing goals.\n-- People are likely to have well-articulated preferences when they are familiar and experienced with the perference object.\n\nAn integrated framework for constructive choice processes. \n*Proposition 1.1: Consumers make choices in order to accomplish goals. Four of the most important goals for consumer decision making are (a) maximizing the accu- racy of the choice, (b) minimizing the cognitive effort required to make the choice, (c) minimizing the experience of negative emotion when making the choice, and (d) max- imizing the ease of justifying the decision. \n*Proposition 1.2: The relative weight placed on various\ngoals will be influenced by a variety of problem character- istics, including the importance and irreversibility of the decision and the timeliness and ambiguity of the feedback available on performance relative to each goal.\n*Proposition 1.3: Two major influences on the selectivity of attention are current goals (voluntary attention) and surprising, novel, threatening, unexpected, or otherwise perceptually salient aspects of the choice environment (involuntary attention). Such factors can also affect the perceptual interpretation of focal aspects of the environment.)\n*Proposition 1.4: Individuals have a repertoire of differ-\nent strategies for solving decision problems. This repertoire will vary across individuals depending on their experience and training. \n*Proposition 1.5: Different strategies vary in their advantages and disadvantages with respect to accomplishing dif- ferent goals in a given situation. These relative advantages and disadvantages may be a function of consumers' skills and knowledge and will vary from one choice environment to another. \n*Proposition 1.6: Consumers select the strategy that bestmeets their goals for a particular situation given the array of possible strategies and their advantages I disadvantages with respect to these goals\n\nAnalyzing Situations where Accuracy and Effort Goals Predominate\nEffort: With respect to cognitive effort, any decision can be decomposted into elementary information processes (EIPs), such as reasing information, comparing models, weighting attributes, etc.The number of EIPs used to make any decision can be calculated \nAccuracy: The decision can be compared to a weighted additive model of decision making -- did the SS make the same decision as the model? Accuracy may also be defined as avoiding heuristic-type choice patterns.\n-- Figure 2 shows the effort, accuracy trade-off for multiple strategies. \n--The trade-off between the strategies might change in the environment (e.g., if all weights are relatively equal, the additive weight strategy doesnt add much)\n\nAnalyzing Situations Where Minimizing Negative Emotion is Relevant. \n-- Individuals may cope with emotion laden decisions by attempting to escape negative emotions. Choice processes under negative emotion are therefore affected by accuracy and effort concerns as well as emotion minimization concerns.\n-- Individuals may cope with emotions using problem-based coping (direct actions to improve the person-environment relationship; identifying the best option) or emotion focussed coping (indirect actions aimed at minimizing emotion; avoidance of thinking about the emotion aspects of the decision)\n\nAnalyzing Situations Where Maximizing Ease of Justification is Relevant\n-- relational reasons (attraction &amp;amp; compromise effects) will be less common in more complex decisions, and in decisiosn where attracion and compromise aren't as salient of options. \n\n**Evidence for constructive consumer choice is presented beginning on pg. 199.\n\nProposition 2.1: Increases in the number of alternatives\nlead to a greater use of noncompensatory choice strategies. Increases in the number of attributes generally leads to increased selectivity, but not strategy changes. Proposition 2.2: Information load will not be harmful to accuracy if consumers select a subset of the information that reflects their values; if selectivity is based on problem features that do not reflect consumers' underlying values, information load can decrease accuracy.\nProposition 2.3: Under moderate time pressure, consum-\ners process more rapidly and become more selective. Under more severe time pressure, individuals switch to more attri- bute-based heuristics. \nProposition 2.4: Consumers weight negative information\nmore heavily under time pressure.\nProposition 2.5: Consumers engage in processing more\nlike weighted adding (more extensive, less selective, and more alternative based) under negative interattribute corre- lation in less emotional decision tasks.\nProposition 2.6: Consumers may infer values for a miss-\ning attribute using heuristics based on other-brand informa- tion (other values for that attribute in the set of options) or same-brand information (values for other attributes of the same brand with the missing value). Which type of heuristic is used depends on the relative accessibility and diagnosticity of each type of information\nProposition 2.7: Different infonnation fonnats can make\nsome fonns of processing easier and less effortful than others. The processing encouraged by the fornat will be more likely; however, potential accuracy losses due to the encouraged fonn of processing will lessen the effect of form at.\nProposition 2.8: Processing can differ between compara-\nble and noncomparable choices. Consumers can develop more abstract attributes or compare overall evaluations as choices become more noncomparable. Their use of these strategies is governed by accuracy-effort concerns. If a specific criterion is primed, however, noncomparable choice processes more closely resemble those for compara- ble options.\nProposition 3.1: Different response modes (e.g., choice\nvs. matching) can lead to different preferences and to pref- erence reversals. Choice encourages more selective and attribute-based comparative processes, whereas rating or matching encourage less selective, more alternative-based, quantitative processing. Proposition 3.2: Preference reversals can be reduced by\nmaking the more quantitative processing easier, by greater familiarity with the options, and by repeated experience with incentives and feedback on the task\nProposition 4.1: Because choice processes are selective\nand comparative, choice processes influence both which items are stored in memory and the organization of such memories. Conversely, information in memory can affect the form of choice processes. Proposition 4.2: Consumers will use information in\nmemory to make a choice to the extent that it is more accessible and more diagnostic than alternative sources of information.\nProposition 4.3: Categorical processing is more likely\nto be used when expectations are met, with more detailed (piecemeal) processing more likely when expectations are not met and the consumer has expertise in the category\nProposition 5.1: Emotion-laden choices are character-\nized by more extensive, more selective, and more attribute- based processing. In general, emotion-laden choices en- courage avoidant behaviors.\nProposition 6.1: Adding an asymmetrically dominated alternative to a choice set results in increased choice share for the dominating alternative. This effect is enhanced un- der increased need for justification. Proposition 6.2: Many context effects can be accounted\nfor by considering the value of each alternative considered separately and the relative advantage of each option com- pared to the other available options.","page":"187-217","title":"Constructive Consumer Choice Processes","type":"article-journal","volume":"25"},"uris":["http://www.mendeley.com/documents/?uuid=941724de-aa87-4776-b606-0e6c3c620023"]}],"mendeley":{"formattedCitation":"(Bettman, Luce, and Payne 1998)","plainTextFormattedCitation":"(Bettman, Luce, and Payne 1998)","previouslyFormattedCitation":"(Bettman, Luce, and Payne 1998)"},"properties":{"noteIndex":0},"schema":"https://github.com/citation-style-language/schema/raw/master/csl-citation.json"}</w:instrText>
      </w:r>
      <w:r w:rsidR="00E53BAD">
        <w:rPr>
          <w:rFonts w:eastAsia="Times New Roman"/>
        </w:rPr>
        <w:fldChar w:fldCharType="separate"/>
      </w:r>
      <w:r w:rsidR="000630D1" w:rsidRPr="000630D1">
        <w:rPr>
          <w:rFonts w:eastAsia="Times New Roman"/>
          <w:noProof/>
        </w:rPr>
        <w:t>(Bettman, Luce, and Payne 1998)</w:t>
      </w:r>
      <w:r w:rsidR="00E53BAD">
        <w:rPr>
          <w:rFonts w:eastAsia="Times New Roman"/>
        </w:rPr>
        <w:fldChar w:fldCharType="end"/>
      </w:r>
      <w:r w:rsidR="00E53BAD">
        <w:rPr>
          <w:rFonts w:eastAsia="Times New Roman"/>
        </w:rPr>
        <w:t xml:space="preserve">. By curating </w:t>
      </w:r>
      <w:r w:rsidR="00DA3D6B">
        <w:rPr>
          <w:rFonts w:eastAsia="Times New Roman"/>
        </w:rPr>
        <w:t xml:space="preserve">a </w:t>
      </w:r>
      <w:r w:rsidR="00E53BAD">
        <w:rPr>
          <w:rFonts w:eastAsia="Times New Roman"/>
        </w:rPr>
        <w:t xml:space="preserve">category of healthy foods, we are enabling </w:t>
      </w:r>
      <w:r w:rsidR="00DA3D6B">
        <w:rPr>
          <w:rFonts w:eastAsia="Times New Roman"/>
        </w:rPr>
        <w:t>elimination</w:t>
      </w:r>
      <w:r w:rsidR="00E53BAD">
        <w:rPr>
          <w:rFonts w:eastAsia="Times New Roman"/>
        </w:rPr>
        <w:t xml:space="preserve">. By </w:t>
      </w:r>
      <w:r w:rsidR="00C94351">
        <w:rPr>
          <w:rFonts w:eastAsia="Times New Roman"/>
        </w:rPr>
        <w:t>allowing</w:t>
      </w:r>
      <w:r w:rsidR="00E53BAD">
        <w:rPr>
          <w:rFonts w:eastAsia="Times New Roman"/>
        </w:rPr>
        <w:t xml:space="preserve"> consumers to easily act on their desire to choose healthier products, we should facilitate </w:t>
      </w:r>
      <w:r w:rsidR="00DA3D6B">
        <w:rPr>
          <w:rFonts w:eastAsia="Times New Roman"/>
        </w:rPr>
        <w:t>healthier choices</w:t>
      </w:r>
      <w:r w:rsidR="00E53BAD">
        <w:rPr>
          <w:rFonts w:eastAsia="Times New Roman"/>
        </w:rPr>
        <w:t xml:space="preserve">. </w:t>
      </w:r>
    </w:p>
    <w:p w14:paraId="35DEFBFC" w14:textId="0D69CED4" w:rsidR="009370FB" w:rsidRPr="00FB2265" w:rsidRDefault="00672702" w:rsidP="00FA6258">
      <w:pPr>
        <w:spacing w:line="480" w:lineRule="auto"/>
        <w:ind w:firstLine="720"/>
        <w:rPr>
          <w:rFonts w:eastAsia="Times New Roman"/>
          <w:b/>
          <w:bCs/>
        </w:rPr>
      </w:pPr>
      <w:r>
        <w:rPr>
          <w:rFonts w:eastAsia="Times New Roman"/>
        </w:rPr>
        <w:t>There is limited empirical data on category curation and choice.</w:t>
      </w:r>
      <w:r w:rsidR="005E5E82">
        <w:rPr>
          <w:rFonts w:eastAsia="Times New Roman"/>
        </w:rPr>
        <w:t xml:space="preserve"> A study examining consumers’ response to restaurant menu format found that</w:t>
      </w:r>
      <w:r w:rsidR="006B55B7">
        <w:rPr>
          <w:rFonts w:eastAsia="Times New Roman"/>
        </w:rPr>
        <w:t>, when calorie information is posted,</w:t>
      </w:r>
      <w:r w:rsidR="005E5E82">
        <w:rPr>
          <w:rFonts w:eastAsia="Times New Roman"/>
        </w:rPr>
        <w:t xml:space="preserve"> consumers avoid a menu section containing only low calorie items, leading them to choose an food item with more calories overall </w:t>
      </w:r>
      <w:r w:rsidR="005E5E82">
        <w:rPr>
          <w:rFonts w:eastAsia="Times New Roman"/>
        </w:rPr>
        <w:fldChar w:fldCharType="begin" w:fldLock="1"/>
      </w:r>
      <w:r w:rsidR="002059FF">
        <w:rPr>
          <w:rFonts w:eastAsia="Times New Roman"/>
        </w:rPr>
        <w:instrText>ADDIN CSL_CITATION {"citationItems":[{"id":"ITEM-1","itemData":{"DOI":"10.1086/675738","ISSN":"00935301","abstract":"To date the effectiveness of inducing lower-calorie choices by providing consumers with calorie information has yielded mixed results. Here four controlled experiments show that adding dish-specific calorie information to menus (calorie posting) tends to result in lower-calorie choices. However, additionally grouping low-calorie dishes into a single \"low-calorie\" category (calorie organizing) ironically diminishes the positive effects of calorie posting. This outcome appears to be caused by the effect that grouping low-calorie options has on consumers' consideration sets. When choosing from a calorie-organized menu, consumers are more likely to filter out low-calorie options in the early noncompensatory screening stages of the decision process and, consequently, are less likely to choose low-calorie options. This result disappears when consumers deliberate longer before choosing. These results are important for consumer welfare as well-intentioned restaurateurs (policy makers) may be tempted to institute (mandate) the calorie organization of menus, inadvertently resulting in consumers choosing higher-calorie meals. © 2014 by JOURNAL OF CONSUMER RESEARCH, Inc.","author":[{"dropping-particle":"","family":"Parker","given":"Jeffrey R.","non-dropping-particle":"","parse-names":false,"suffix":""},{"dropping-particle":"","family":"Lehmann","given":"Donald R.","non-dropping-particle":"","parse-names":false,"suffix":""}],"container-title":"Journal of Consumer Research","id":"ITEM-1","issue":"1","issued":{"date-parts":[["2014"]]},"page":"213-235","title":"How and when grouping low-calorie options reduces the benefits of providing dish-specific calorie information","type":"article-journal","volume":"41"},"uris":["http://www.mendeley.com/documents/?uuid=952cde5f-2c16-4460-98e0-4c6edf5be559"]}],"mendeley":{"formattedCitation":"(Parker and Lehmann 2014)","plainTextFormattedCitation":"(Parker and Lehmann 2014)","previouslyFormattedCitation":"(Parker and Lehmann 2014)"},"properties":{"noteIndex":0},"schema":"https://github.com/citation-style-language/schema/raw/master/csl-citation.json"}</w:instrText>
      </w:r>
      <w:r w:rsidR="005E5E82">
        <w:rPr>
          <w:rFonts w:eastAsia="Times New Roman"/>
        </w:rPr>
        <w:fldChar w:fldCharType="separate"/>
      </w:r>
      <w:r w:rsidR="005E5E82" w:rsidRPr="005E5E82">
        <w:rPr>
          <w:rFonts w:eastAsia="Times New Roman"/>
          <w:noProof/>
        </w:rPr>
        <w:t>(Parker and Lehmann 2014)</w:t>
      </w:r>
      <w:r w:rsidR="005E5E82">
        <w:rPr>
          <w:rFonts w:eastAsia="Times New Roman"/>
        </w:rPr>
        <w:fldChar w:fldCharType="end"/>
      </w:r>
      <w:r w:rsidR="005E5E82">
        <w:rPr>
          <w:rFonts w:eastAsia="Times New Roman"/>
        </w:rPr>
        <w:t xml:space="preserve">. </w:t>
      </w:r>
      <w:r>
        <w:rPr>
          <w:rFonts w:eastAsia="Times New Roman"/>
        </w:rPr>
        <w:t xml:space="preserve"> However,</w:t>
      </w:r>
      <w:r w:rsidR="005E5E82">
        <w:rPr>
          <w:rFonts w:eastAsia="Times New Roman"/>
        </w:rPr>
        <w:t xml:space="preserve"> this finding is within a hedonic context</w:t>
      </w:r>
      <w:r w:rsidR="000462B3">
        <w:rPr>
          <w:rFonts w:eastAsia="Times New Roman"/>
        </w:rPr>
        <w:t xml:space="preserve"> where consumption is immediate; in the context </w:t>
      </w:r>
      <w:r w:rsidR="005E5E82">
        <w:rPr>
          <w:rFonts w:eastAsia="Times New Roman"/>
        </w:rPr>
        <w:t>consumers’ taste goals may be more salient than their health goals</w:t>
      </w:r>
      <w:r w:rsidR="000462B3">
        <w:rPr>
          <w:rFonts w:eastAsia="Times New Roman"/>
        </w:rPr>
        <w:t xml:space="preserve"> </w:t>
      </w:r>
      <w:r w:rsidR="000462B3">
        <w:rPr>
          <w:rFonts w:eastAsia="Times New Roman"/>
        </w:rPr>
        <w:fldChar w:fldCharType="begin" w:fldLock="1"/>
      </w:r>
      <w:r w:rsidR="000462B3">
        <w:rPr>
          <w:rFonts w:eastAsia="Times New Roman"/>
        </w:rPr>
        <w:instrText>ADDIN CSL_CITATION {"citationItems":[{"id":"ITEM-1","itemData":{"DOI":"10.1509/jmr.14.0234","ISSN":"0022-2437","abstract":"Encouraging consumers to select meals in advance rather than at mealtime has been proposed as a strategy to promote healthier eating decisions, taking advantage of the improved self-control that is thought to accompany delayed decisions. In two field studies at an employee cafeteria and a third in a university setting, we examine how time delays between placing a lunch order and picking it up affect the healthfulness of that lunch. The first, a secondary data analysis, found that longer delays between placing an order and picking up the meal were associated with reductions in calorie content. The second study tested the causality of this relationship by exogenously restricting some lunch orders to be substantially delayed, leading to a marginally significant (approximately five percent) reduction in calories among delayed orders. The third study compared orders for truly immediate consumption versus orders placed in advance, and demonstrated a significant (100 calorie, or approximately ten percent) reduction in lunch calories. We discuss evidence regarding possible theoretical mechanisms underlying this effect, as well as practical implications of our findings.","author":[{"dropping-particle":"","family":"VanEpps","given":"Eric M.","non-dropping-particle":"","parse-names":false,"suffix":""},{"dropping-particle":"","family":"Downs","given":"Julie S.","non-dropping-particle":"","parse-names":false,"suffix":""},{"dropping-particle":"","family":"Loewenstein","given":"George","non-dropping-particle":"","parse-names":false,"suffix":""}],"container-title":"Journal of Marketing Research","id":"ITEM-1","issue":"3","issued":{"date-parts":[["2016"]]},"note":"Study 1\nMethods: Reanalysis of data from a lunch ordering trial at a large company. The independent variable was time between placing the lunch order and picking up the lunch order. The dependent variable was calories ordered\nResults: Consistent with past research on\ntime delay, there is a strong, negative relationship between\ndelay and calorie content (p = .015); for every hour of delay, there is a decrease of approximately 38 calories in the lunch ordered.\n\nStudy 2\nMethods: 291 participants were randomly assigned to place lunch orders early in the day or around lunchtime. Calories in their orders were the dv. Participants were told which lunches were low calorie and which were high but only for part of the experiment\nResults: Orders placed in advance had marginally fewer calories (M = 568, SE = 15) than those placed at lunchtime (M = 598 calories, SE = 14; p = .086). \n\nStudy 3\nMethods: Students (N = 195) completed 3 surveys (one 1h before lunch, one right before lunch, and one after lunch) in exchange for a free lunch. SS were randomized to complete their lunch order survey at T1 or T2. Survey 3 contained details about meal satisfactio\nn, diet/exercise, meal satisfaction and food consumption\nResults: SS who ordered in advance ordered sig fewer calories. Hunger did not mediate this effect. Uneaten calories did not differ between condition.","page":"369-380","title":"Advance Ordering for Healthier Eating? Field Experiments on the Relationship Between the Meal Order–Consumption Time Delay and Meal Content","type":"article-journal","volume":"53"},"uris":["http://www.mendeley.com/documents/?uuid=333620ac-0756-4e7e-ab82-ea335c4d7902"]}],"mendeley":{"formattedCitation":"(VanEpps, Downs, and Loewenstein 2016)","plainTextFormattedCitation":"(VanEpps, Downs, and Loewenstein 2016)"},"properties":{"noteIndex":0},"schema":"https://github.com/citation-style-language/schema/raw/master/csl-citation.json"}</w:instrText>
      </w:r>
      <w:r w:rsidR="000462B3">
        <w:rPr>
          <w:rFonts w:eastAsia="Times New Roman"/>
        </w:rPr>
        <w:fldChar w:fldCharType="separate"/>
      </w:r>
      <w:r w:rsidR="000462B3" w:rsidRPr="000462B3">
        <w:rPr>
          <w:rFonts w:eastAsia="Times New Roman"/>
          <w:noProof/>
        </w:rPr>
        <w:t>(VanEpps, Downs, and Loewenstein 2016)</w:t>
      </w:r>
      <w:r w:rsidR="000462B3">
        <w:rPr>
          <w:rFonts w:eastAsia="Times New Roman"/>
        </w:rPr>
        <w:fldChar w:fldCharType="end"/>
      </w:r>
      <w:r w:rsidR="005E5E82">
        <w:rPr>
          <w:rFonts w:eastAsia="Times New Roman"/>
        </w:rPr>
        <w:t>. Furthermore,</w:t>
      </w:r>
      <w:r w:rsidR="00037574">
        <w:rPr>
          <w:rFonts w:eastAsia="Times New Roman"/>
        </w:rPr>
        <w:t xml:space="preserve"> </w:t>
      </w:r>
      <w:r>
        <w:rPr>
          <w:rFonts w:eastAsia="Times New Roman"/>
        </w:rPr>
        <w:t>d</w:t>
      </w:r>
      <w:r w:rsidR="0014413D" w:rsidRPr="0014413D">
        <w:rPr>
          <w:rFonts w:eastAsia="Times New Roman"/>
        </w:rPr>
        <w:t>ata</w:t>
      </w:r>
      <w:r w:rsidR="005E5E82">
        <w:rPr>
          <w:rFonts w:eastAsia="Times New Roman"/>
        </w:rPr>
        <w:t xml:space="preserve"> from</w:t>
      </w:r>
      <w:r w:rsidR="0014413D" w:rsidRPr="0014413D">
        <w:rPr>
          <w:rFonts w:eastAsia="Times New Roman"/>
        </w:rPr>
        <w:t xml:space="preserve"> </w:t>
      </w:r>
      <w:r w:rsidR="005E5E82">
        <w:rPr>
          <w:rFonts w:eastAsia="Times New Roman"/>
        </w:rPr>
        <w:t>non-food related consumption contexts</w:t>
      </w:r>
      <w:r w:rsidR="0014413D" w:rsidRPr="0014413D">
        <w:rPr>
          <w:rFonts w:eastAsia="Times New Roman"/>
        </w:rPr>
        <w:t xml:space="preserve"> suggests that </w:t>
      </w:r>
      <w:r w:rsidR="0014413D">
        <w:rPr>
          <w:rFonts w:eastAsia="Times New Roman"/>
        </w:rPr>
        <w:t>products</w:t>
      </w:r>
      <w:r w:rsidR="0014413D" w:rsidRPr="0014413D">
        <w:rPr>
          <w:rFonts w:eastAsia="Times New Roman"/>
        </w:rPr>
        <w:t xml:space="preserve"> appearing in curated categories are consumed </w:t>
      </w:r>
      <w:r w:rsidR="0014413D">
        <w:rPr>
          <w:rFonts w:eastAsia="Times New Roman"/>
        </w:rPr>
        <w:t xml:space="preserve">at much higher rates than products that do not appear in curated categories </w:t>
      </w:r>
      <w:r w:rsidR="0014413D">
        <w:rPr>
          <w:rFonts w:eastAsia="Times New Roman"/>
        </w:rPr>
        <w:fldChar w:fldCharType="begin" w:fldLock="1"/>
      </w:r>
      <w:r w:rsidR="000630D1">
        <w:rPr>
          <w:rFonts w:eastAsia="Times New Roman"/>
        </w:rPr>
        <w:instrText>ADDIN CSL_CITATION {"citationItems":[{"id":"ITEM-1","itemData":{"author":[{"dropping-particle":"","family":"Aguiar","given":"Luis","non-dropping-particle":"","parse-names":false,"suffix":""},{"dropping-particle":"","family":"Waldfogel","given":"Joel","non-dropping-particle":"","parse-names":false,"suffix":""}],"container-title":"Journal of Industrial Economics","id":"ITEM-1","issued":{"date-parts":[["2021"]]},"title":"Platforms, Power, and Promotion: Evidence from Spotify Playlists","type":"article-journal"},"uris":["http://www.mendeley.com/documents/?uuid=eb6f4a2a-522e-4f9e-a317-1b953ec16043"]}],"mendeley":{"formattedCitation":"(Aguiar and Waldfogel 2021)","plainTextFormattedCitation":"(Aguiar and Waldfogel 2021)","previouslyFormattedCitation":"(Aguiar and Waldfogel 2021)"},"properties":{"noteIndex":0},"schema":"https://github.com/citation-style-language/schema/raw/master/csl-citation.json"}</w:instrText>
      </w:r>
      <w:r w:rsidR="0014413D">
        <w:rPr>
          <w:rFonts w:eastAsia="Times New Roman"/>
        </w:rPr>
        <w:fldChar w:fldCharType="separate"/>
      </w:r>
      <w:r w:rsidR="000630D1" w:rsidRPr="000630D1">
        <w:rPr>
          <w:rFonts w:eastAsia="Times New Roman"/>
          <w:noProof/>
        </w:rPr>
        <w:t>(Aguiar and Waldfogel 2021)</w:t>
      </w:r>
      <w:r w:rsidR="0014413D">
        <w:rPr>
          <w:rFonts w:eastAsia="Times New Roman"/>
        </w:rPr>
        <w:fldChar w:fldCharType="end"/>
      </w:r>
      <w:r w:rsidR="0014413D">
        <w:rPr>
          <w:rFonts w:eastAsia="Times New Roman"/>
        </w:rPr>
        <w:t xml:space="preserve">. </w:t>
      </w:r>
      <w:r>
        <w:rPr>
          <w:rFonts w:eastAsia="Times New Roman"/>
        </w:rPr>
        <w:t xml:space="preserve">Based on this research and the literature on consumer consideration sets, we suspect that consumers will purchase healthier foods when a “healthy section” is made available. </w:t>
      </w:r>
    </w:p>
    <w:p w14:paraId="7543D3AD" w14:textId="77777777" w:rsidR="00CA66DA" w:rsidRPr="00087995" w:rsidRDefault="00CA66DA" w:rsidP="00CA66DA">
      <w:pPr>
        <w:spacing w:line="480" w:lineRule="auto"/>
        <w:rPr>
          <w:b/>
          <w:bCs/>
          <w:i/>
          <w:iCs/>
        </w:rPr>
      </w:pPr>
      <w:r w:rsidRPr="00087995">
        <w:rPr>
          <w:b/>
          <w:bCs/>
          <w:i/>
          <w:iCs/>
        </w:rPr>
        <w:t>Methods</w:t>
      </w:r>
    </w:p>
    <w:p w14:paraId="461C7E19" w14:textId="77777777" w:rsidR="00CA66DA" w:rsidRDefault="00CA66DA" w:rsidP="00CA66DA">
      <w:pPr>
        <w:spacing w:line="480" w:lineRule="auto"/>
        <w:ind w:firstLine="720"/>
      </w:pPr>
      <w:r>
        <w:t xml:space="preserve">We recruited 283 participants from Prolific (123 men, 157 women, 3 non-binary or prefer to self-describe; </w:t>
      </w:r>
      <w:r w:rsidRPr="00CD1D34">
        <w:rPr>
          <w:i/>
          <w:iCs/>
        </w:rPr>
        <w:t>M</w:t>
      </w:r>
      <w:r w:rsidRPr="00CD1D34">
        <w:rPr>
          <w:i/>
          <w:iCs/>
          <w:vertAlign w:val="subscript"/>
        </w:rPr>
        <w:t>age</w:t>
      </w:r>
      <w:r>
        <w:t xml:space="preserve"> = 32.75, </w:t>
      </w:r>
      <w:r w:rsidRPr="00CD1D34">
        <w:rPr>
          <w:i/>
          <w:iCs/>
        </w:rPr>
        <w:t>SD</w:t>
      </w:r>
      <w:r>
        <w:t xml:space="preserve"> = 11.80; 198 White, 22 Black, 29 Asian, 1 Southeast Asian, 17 </w:t>
      </w:r>
      <w:r>
        <w:lastRenderedPageBreak/>
        <w:t xml:space="preserve">Hispanic or Latinx, 1 Pacific Islander, 13 bi- or multiracial, 2 other or prefer not to answer; </w:t>
      </w:r>
      <w:r w:rsidRPr="00CD1D34">
        <w:rPr>
          <w:i/>
          <w:iCs/>
        </w:rPr>
        <w:t>M</w:t>
      </w:r>
      <w:r>
        <w:rPr>
          <w:i/>
          <w:iCs/>
          <w:vertAlign w:val="subscript"/>
        </w:rPr>
        <w:t>BMI</w:t>
      </w:r>
      <w:r>
        <w:t xml:space="preserve"> = 25.68, </w:t>
      </w:r>
      <w:r w:rsidRPr="00CD1D34">
        <w:rPr>
          <w:i/>
          <w:iCs/>
        </w:rPr>
        <w:t>SD</w:t>
      </w:r>
      <w:r>
        <w:t xml:space="preserve"> = 6.19).</w:t>
      </w:r>
    </w:p>
    <w:p w14:paraId="4E1E4E70" w14:textId="77777777" w:rsidR="00CA66DA" w:rsidRDefault="00CA66DA" w:rsidP="00CA66DA">
      <w:pPr>
        <w:spacing w:line="480" w:lineRule="auto"/>
        <w:ind w:firstLine="720"/>
      </w:pPr>
      <w:r>
        <w:t xml:space="preserve">Participants were asked to use the Open Science Online Grocery to shop for groceries for the upcoming week. Instructions were the same as in prior experiments, including two participants winning the contents of their cart. </w:t>
      </w:r>
    </w:p>
    <w:p w14:paraId="7BB3F1DB" w14:textId="08ED54A0" w:rsidR="00CA66DA" w:rsidRDefault="00CA66DA" w:rsidP="00CA66DA">
      <w:pPr>
        <w:spacing w:line="480" w:lineRule="auto"/>
      </w:pPr>
      <w:r>
        <w:tab/>
        <w:t xml:space="preserve">Participants were randomly assigned to one of two versions of the Open Science Online Grocery. In the control condition, participants saw nine product categories (i.e., produce; meat, dairy and eggs; bakery, pasta and grains; dry goods, breakfast and spices; pantry; canned; snacks; beverages, </w:t>
      </w:r>
      <w:proofErr w:type="gramStart"/>
      <w:r>
        <w:t>and;</w:t>
      </w:r>
      <w:proofErr w:type="gramEnd"/>
      <w:r>
        <w:t xml:space="preserve"> frozen foods) as headings to help navigate the store. In the experimental condition, participants could opt in to seeing an additional heading “Healthy Section.” The healthy section included subcategories representing each of the other store categories (e.g., produce, dry goods). Items appearing in the Healthy Section were in the 70</w:t>
      </w:r>
      <w:r w:rsidRPr="005E1F60">
        <w:rPr>
          <w:vertAlign w:val="superscript"/>
        </w:rPr>
        <w:t>th</w:t>
      </w:r>
      <w:r>
        <w:t xml:space="preserve"> percentile or higher of health as rated </w:t>
      </w:r>
      <w:r w:rsidRPr="00C94351">
        <w:t xml:space="preserve">by the star point algorithm outlined in Study </w:t>
      </w:r>
      <w:r w:rsidR="00FA6258" w:rsidRPr="00C94351">
        <w:t>1</w:t>
      </w:r>
      <w:r w:rsidRPr="00C94351">
        <w:t xml:space="preserve">. </w:t>
      </w:r>
      <w:r w:rsidR="00C94351">
        <w:t>In</w:t>
      </w:r>
      <w:r w:rsidRPr="00C94351">
        <w:t xml:space="preserve"> both conditions, participants were not shown front-of-package labels and were prompted to spend $35 before being able to check out.</w:t>
      </w:r>
      <w:r>
        <w:t xml:space="preserve"> </w:t>
      </w:r>
    </w:p>
    <w:p w14:paraId="4152503A" w14:textId="47442F1D" w:rsidR="00CA66DA" w:rsidRDefault="00CA66DA" w:rsidP="00CA66DA">
      <w:pPr>
        <w:spacing w:line="480" w:lineRule="auto"/>
      </w:pPr>
      <w:r>
        <w:tab/>
      </w:r>
      <w:r w:rsidR="00BD1606">
        <w:t>After completing their hypothetical shopping, participants completed the same shopper profile, demographics, and debriefing as in Study 1.</w:t>
      </w:r>
    </w:p>
    <w:p w14:paraId="0DDC89AE" w14:textId="77777777" w:rsidR="00CA66DA" w:rsidRDefault="00CA66DA" w:rsidP="00CA66DA">
      <w:pPr>
        <w:spacing w:line="480" w:lineRule="auto"/>
        <w:rPr>
          <w:b/>
          <w:bCs/>
        </w:rPr>
      </w:pPr>
      <w:r w:rsidRPr="00863299">
        <w:rPr>
          <w:b/>
          <w:bCs/>
        </w:rPr>
        <w:t>Results</w:t>
      </w:r>
    </w:p>
    <w:p w14:paraId="609A8C0F" w14:textId="7198E8B4" w:rsidR="00CA66DA" w:rsidRDefault="00CA66DA" w:rsidP="00CA66DA">
      <w:pPr>
        <w:spacing w:line="480" w:lineRule="auto"/>
        <w:rPr>
          <w:b/>
          <w:bCs/>
        </w:rPr>
      </w:pPr>
      <w:r>
        <w:rPr>
          <w:b/>
          <w:bCs/>
        </w:rPr>
        <w:tab/>
      </w:r>
      <w:r w:rsidRPr="003E4EB0">
        <w:rPr>
          <w:b/>
          <w:bCs/>
          <w:i/>
          <w:iCs/>
        </w:rPr>
        <w:t>Opting In</w:t>
      </w:r>
      <w:r>
        <w:rPr>
          <w:b/>
          <w:bCs/>
        </w:rPr>
        <w:t xml:space="preserve">. </w:t>
      </w:r>
      <w:r w:rsidRPr="004F4A4B">
        <w:t xml:space="preserve">Recall that we allowed participants to opt in to seeing the healthy items category. We did this to reduce reactance responses to the feature. 15 participants chose not to see the Healthy Section. Statistics are presented below </w:t>
      </w:r>
      <w:r w:rsidR="00C94351">
        <w:t xml:space="preserve">using </w:t>
      </w:r>
      <w:r w:rsidR="00DA3D6B">
        <w:t>a</w:t>
      </w:r>
      <w:r w:rsidR="00C94351">
        <w:t>n intent-to-treat</w:t>
      </w:r>
      <w:r>
        <w:t xml:space="preserve"> analysis</w:t>
      </w:r>
      <w:r w:rsidR="00C94351">
        <w:t>. However, results are similar</w:t>
      </w:r>
      <w:r w:rsidR="00DA3D6B">
        <w:t xml:space="preserve"> if</w:t>
      </w:r>
      <w:r w:rsidR="00C94351">
        <w:t xml:space="preserve"> the participants who opted out are assigned to the control condition. </w:t>
      </w:r>
    </w:p>
    <w:p w14:paraId="23FC0FF7" w14:textId="59497389" w:rsidR="00CA66DA" w:rsidRDefault="00CA66DA" w:rsidP="00CA66DA">
      <w:pPr>
        <w:spacing w:line="480" w:lineRule="auto"/>
        <w:ind w:firstLine="720"/>
      </w:pPr>
      <w:r w:rsidRPr="00863299">
        <w:rPr>
          <w:b/>
          <w:bCs/>
          <w:i/>
          <w:iCs/>
        </w:rPr>
        <w:lastRenderedPageBreak/>
        <w:t>Shopper Profile</w:t>
      </w:r>
      <w:r>
        <w:rPr>
          <w:b/>
          <w:bCs/>
        </w:rPr>
        <w:t xml:space="preserve">. </w:t>
      </w:r>
      <w:proofErr w:type="gramStart"/>
      <w:r>
        <w:t>The majority of</w:t>
      </w:r>
      <w:proofErr w:type="gramEnd"/>
      <w:r>
        <w:t xml:space="preserve"> participants imagined shopping for themselves (31.8%) or themselves and another person (33.9%). On average, participants reported purchasing similar items to their typical grocery shopping trip (</w:t>
      </w:r>
      <w:r w:rsidRPr="00F66DA2">
        <w:rPr>
          <w:i/>
          <w:iCs/>
        </w:rPr>
        <w:t>M</w:t>
      </w:r>
      <w:r>
        <w:t xml:space="preserve"> = 6.05/7.00, </w:t>
      </w:r>
      <w:r w:rsidRPr="00F66DA2">
        <w:rPr>
          <w:i/>
          <w:iCs/>
        </w:rPr>
        <w:t>SD</w:t>
      </w:r>
      <w:r>
        <w:t xml:space="preserve"> = 1.10); purchase typicality did not differ across conditions, </w:t>
      </w:r>
      <w:proofErr w:type="gramStart"/>
      <w:r w:rsidRPr="00F66DA2">
        <w:rPr>
          <w:i/>
          <w:iCs/>
        </w:rPr>
        <w:t>t</w:t>
      </w:r>
      <w:r>
        <w:t>(</w:t>
      </w:r>
      <w:proofErr w:type="gramEnd"/>
      <w:r>
        <w:t>280) = .</w:t>
      </w:r>
      <w:r w:rsidR="00C94351">
        <w:t>47</w:t>
      </w:r>
      <w:r>
        <w:t xml:space="preserve">, </w:t>
      </w:r>
      <w:r w:rsidRPr="00F66DA2">
        <w:rPr>
          <w:i/>
          <w:iCs/>
        </w:rPr>
        <w:t>p</w:t>
      </w:r>
      <w:r>
        <w:t xml:space="preserve"> = .</w:t>
      </w:r>
      <w:r w:rsidR="00C94351">
        <w:t>64</w:t>
      </w:r>
      <w:r>
        <w:t xml:space="preserve">.  </w:t>
      </w:r>
    </w:p>
    <w:p w14:paraId="03EBA28E" w14:textId="6CBDF023" w:rsidR="00647EE6" w:rsidRPr="00345619" w:rsidRDefault="00CA66DA" w:rsidP="00345619">
      <w:pPr>
        <w:spacing w:line="480" w:lineRule="auto"/>
        <w:rPr>
          <w:b/>
          <w:bCs/>
          <w:i/>
          <w:iCs/>
        </w:rPr>
      </w:pPr>
      <w:r w:rsidRPr="005F4364">
        <w:rPr>
          <w:b/>
          <w:bCs/>
          <w:i/>
          <w:iCs/>
        </w:rPr>
        <w:tab/>
        <w:t>Primary Results</w:t>
      </w:r>
      <w:r>
        <w:rPr>
          <w:b/>
          <w:bCs/>
          <w:i/>
          <w:iCs/>
        </w:rPr>
        <w:t>.</w:t>
      </w:r>
      <w:r>
        <w:t xml:space="preserve"> Participants in the experimental re-ordering condition purchased items with less trans-fat</w:t>
      </w:r>
      <w:r w:rsidR="00895CD2">
        <w:t xml:space="preserve"> and </w:t>
      </w:r>
      <w:r>
        <w:t xml:space="preserve">more star points than participants in the control condition, all </w:t>
      </w:r>
      <w:proofErr w:type="spellStart"/>
      <w:r w:rsidRPr="00C90C94">
        <w:rPr>
          <w:i/>
          <w:iCs/>
        </w:rPr>
        <w:t>p</w:t>
      </w:r>
      <w:r>
        <w:t>s</w:t>
      </w:r>
      <w:proofErr w:type="spellEnd"/>
      <w:r>
        <w:t>&lt; .0</w:t>
      </w:r>
      <w:r w:rsidR="00895CD2">
        <w:t>3</w:t>
      </w:r>
      <w:r>
        <w:t>. S</w:t>
      </w:r>
      <w:r w:rsidR="00895CD2">
        <w:t xml:space="preserve">odium </w:t>
      </w:r>
      <w:r>
        <w:t xml:space="preserve">trended in the expected direction, </w:t>
      </w:r>
      <w:r w:rsidRPr="007E1E9B">
        <w:rPr>
          <w:i/>
          <w:iCs/>
        </w:rPr>
        <w:t>p</w:t>
      </w:r>
      <w:r>
        <w:t xml:space="preserve"> = .0</w:t>
      </w:r>
      <w:r w:rsidR="00895CD2">
        <w:t>9</w:t>
      </w:r>
      <w:r>
        <w:t xml:space="preserve">. Full results can be found </w:t>
      </w:r>
      <w:r w:rsidRPr="00895CD2">
        <w:t xml:space="preserve">in Table </w:t>
      </w:r>
      <w:r w:rsidR="00345619">
        <w:t>3</w:t>
      </w:r>
      <w:r w:rsidRPr="00895CD2">
        <w:t>.</w:t>
      </w:r>
      <w:r>
        <w:t xml:space="preserve"> </w:t>
      </w:r>
    </w:p>
    <w:p w14:paraId="53662009" w14:textId="12EB1296" w:rsidR="00A118A6" w:rsidRDefault="00A118A6" w:rsidP="00A118A6">
      <w:pPr>
        <w:jc w:val="center"/>
        <w:rPr>
          <w:b/>
          <w:bCs/>
        </w:rPr>
      </w:pPr>
      <w:r w:rsidRPr="00A118A6">
        <w:rPr>
          <w:b/>
          <w:bCs/>
        </w:rPr>
        <w:t>DISCUSSIO</w:t>
      </w:r>
      <w:r>
        <w:rPr>
          <w:b/>
          <w:bCs/>
        </w:rPr>
        <w:t>N</w:t>
      </w:r>
    </w:p>
    <w:p w14:paraId="5F34CC46" w14:textId="211F7A65" w:rsidR="00A118A6" w:rsidRDefault="00A118A6" w:rsidP="00A118A6">
      <w:pPr>
        <w:rPr>
          <w:b/>
          <w:bCs/>
        </w:rPr>
      </w:pPr>
    </w:p>
    <w:p w14:paraId="0DD79524" w14:textId="3E553754" w:rsidR="00FA076C" w:rsidRDefault="00FA076C" w:rsidP="00FA076C">
      <w:pPr>
        <w:spacing w:line="480" w:lineRule="auto"/>
      </w:pPr>
      <w:r w:rsidRPr="00FA076C">
        <w:tab/>
        <w:t xml:space="preserve">Across </w:t>
      </w:r>
      <w:r w:rsidR="00094A64">
        <w:t>three</w:t>
      </w:r>
      <w:r w:rsidRPr="00FA076C">
        <w:t xml:space="preserve"> studies, we demonstrate an effect of </w:t>
      </w:r>
      <w:r w:rsidR="00FA6258">
        <w:t>sorting</w:t>
      </w:r>
      <w:r w:rsidR="00FA6258" w:rsidRPr="00FA076C">
        <w:t xml:space="preserve"> </w:t>
      </w:r>
      <w:r w:rsidRPr="00FA076C">
        <w:t xml:space="preserve">and categorization on consumer choice in the OSOG store. We fail to demonstrate an effect of </w:t>
      </w:r>
      <w:r w:rsidR="00710ED1">
        <w:t>labeling</w:t>
      </w:r>
      <w:r>
        <w:t xml:space="preserve">. The effects for ordering and </w:t>
      </w:r>
      <w:r w:rsidR="00710ED1">
        <w:t>labeling</w:t>
      </w:r>
      <w:r>
        <w:t xml:space="preserve"> increase our confidence in the relative ecological validity of the store because they mirror the effects generally found in large scale field studies. </w:t>
      </w:r>
    </w:p>
    <w:p w14:paraId="47991834" w14:textId="07975B04" w:rsidR="00FA6258" w:rsidRDefault="00FA6258" w:rsidP="00FA076C">
      <w:pPr>
        <w:spacing w:line="480" w:lineRule="auto"/>
      </w:pPr>
      <w:r>
        <w:tab/>
        <w:t xml:space="preserve">The effects of curated categories </w:t>
      </w:r>
      <w:proofErr w:type="gramStart"/>
      <w:r w:rsidR="00094A64">
        <w:t>is</w:t>
      </w:r>
      <w:proofErr w:type="gramEnd"/>
      <w:r>
        <w:t xml:space="preserve"> also important in that </w:t>
      </w:r>
      <w:r w:rsidR="00094A64">
        <w:t>it</w:t>
      </w:r>
      <w:r>
        <w:t xml:space="preserve"> impl</w:t>
      </w:r>
      <w:r w:rsidR="00094A64">
        <w:t>ies</w:t>
      </w:r>
      <w:r>
        <w:t xml:space="preserve"> areas where future research is needed. </w:t>
      </w:r>
      <w:r w:rsidR="00094A64">
        <w:t>The observed effect of curated categories is encouraging, suggesting that categorical organization may be helpful in a grocery setting, when consumers may be more actively pursuing a health goal. However, many questions remain. For example, w</w:t>
      </w:r>
      <w:r>
        <w:t>hat is the optimal assortment size within these categories? Do curated categories outperform filters that may perform a similar exclusionary function?</w:t>
      </w:r>
    </w:p>
    <w:p w14:paraId="547D44C1" w14:textId="10A0E5AA" w:rsidR="008F5FD3" w:rsidRDefault="00DD297E" w:rsidP="00FA076C">
      <w:pPr>
        <w:spacing w:line="480" w:lineRule="auto"/>
      </w:pPr>
      <w:r>
        <w:tab/>
      </w:r>
      <w:r w:rsidR="00140BF7">
        <w:t xml:space="preserve">Our goal in running these studies was to introduce researchers to a new tool to examine the effects of choice </w:t>
      </w:r>
      <w:r w:rsidR="00E47093">
        <w:t>con</w:t>
      </w:r>
      <w:r w:rsidR="00B20C1A">
        <w:t>t</w:t>
      </w:r>
      <w:r w:rsidR="00E47093">
        <w:t xml:space="preserve">ext </w:t>
      </w:r>
      <w:r w:rsidR="00140BF7">
        <w:t xml:space="preserve">on consumer food choice. </w:t>
      </w:r>
      <w:r w:rsidR="008F5FD3">
        <w:t xml:space="preserve">In this paper, we present </w:t>
      </w:r>
      <w:r w:rsidR="00094A64">
        <w:t>three</w:t>
      </w:r>
      <w:r w:rsidR="008F5FD3">
        <w:t xml:space="preserve"> illustrations of the store’s capabilities. However, we do not see these illustrations as the ultimate empirical demonstration of the store’s features. For example, although we found a null effect of star labels, we encourage researchers to make </w:t>
      </w:r>
      <w:r w:rsidR="00710ED1">
        <w:t>labeling</w:t>
      </w:r>
      <w:r w:rsidR="008F5FD3">
        <w:t xml:space="preserve"> changes within the store and </w:t>
      </w:r>
      <w:r w:rsidR="00DA3D6B">
        <w:t>observe</w:t>
      </w:r>
      <w:r w:rsidR="008F5FD3">
        <w:t xml:space="preserve"> how </w:t>
      </w:r>
      <w:r w:rsidR="008F5FD3">
        <w:lastRenderedPageBreak/>
        <w:t xml:space="preserve">they affect </w:t>
      </w:r>
      <w:r w:rsidR="00DA3D6B">
        <w:t xml:space="preserve">purchase </w:t>
      </w:r>
      <w:r w:rsidR="008F5FD3">
        <w:t xml:space="preserve">behavior. </w:t>
      </w:r>
      <w:r w:rsidR="00DA3D6B">
        <w:t xml:space="preserve">As </w:t>
      </w:r>
      <w:r w:rsidR="008F5FD3">
        <w:t>we did not test the effect of traffic light labels, organic labels, or any other of the myriad of FOP labels currently being used in the market</w:t>
      </w:r>
      <w:r w:rsidR="00DA3D6B">
        <w:t xml:space="preserve">, more research could contribute valuable knowledge to understanding the effects of </w:t>
      </w:r>
      <w:r w:rsidR="00710ED1">
        <w:t>labeling</w:t>
      </w:r>
      <w:r w:rsidR="008F5FD3">
        <w:t xml:space="preserve">. </w:t>
      </w:r>
    </w:p>
    <w:p w14:paraId="23BFCE58" w14:textId="6A30111D" w:rsidR="00C00897" w:rsidRDefault="00C00897" w:rsidP="009C3376">
      <w:pPr>
        <w:spacing w:line="480" w:lineRule="auto"/>
        <w:ind w:firstLine="720"/>
      </w:pPr>
      <w:r>
        <w:t>It is important to note that we do not envision the store as a substitute for field studies. Although the store can be made incentive compatible by providing bonuses, it is not a substitute for an experimental or quasi-experimental field study. Rather, we envision the store as a first step in a research project: a way to determine if there is any support for a hypothesis before beginning a cost- and labor-intensive field study. Furthermore, researchers can use results from the store to address any concerns retailers may have about profits or consumer satisfaction, perhaps making retailer collaboration more likely.</w:t>
      </w:r>
    </w:p>
    <w:p w14:paraId="4DF750F6" w14:textId="3C3A957F" w:rsidR="000B0298" w:rsidRPr="00B20C1A" w:rsidRDefault="000B0298" w:rsidP="00FA076C">
      <w:pPr>
        <w:spacing w:line="480" w:lineRule="auto"/>
        <w:rPr>
          <w:b/>
          <w:bCs/>
        </w:rPr>
      </w:pPr>
      <w:r w:rsidRPr="009C3376">
        <w:rPr>
          <w:b/>
          <w:bCs/>
        </w:rPr>
        <w:t xml:space="preserve">Beyond Food Choice: Using OSOG To Study Consumer </w:t>
      </w:r>
      <w:r w:rsidRPr="000B0298">
        <w:rPr>
          <w:b/>
          <w:bCs/>
        </w:rPr>
        <w:t>Behavior</w:t>
      </w:r>
      <w:r w:rsidRPr="009C3376">
        <w:rPr>
          <w:b/>
          <w:bCs/>
        </w:rPr>
        <w:t xml:space="preserve"> More Broadly</w:t>
      </w:r>
      <w:r>
        <w:rPr>
          <w:b/>
          <w:bCs/>
        </w:rPr>
        <w:t xml:space="preserve"> </w:t>
      </w:r>
    </w:p>
    <w:p w14:paraId="19DCFE88" w14:textId="06227764" w:rsidR="002059FF" w:rsidRDefault="00912A40" w:rsidP="00FA076C">
      <w:pPr>
        <w:spacing w:line="480" w:lineRule="auto"/>
      </w:pPr>
      <w:r>
        <w:tab/>
      </w:r>
      <w:r w:rsidR="00C00897">
        <w:t>T</w:t>
      </w:r>
      <w:r w:rsidR="00D0632A">
        <w:t xml:space="preserve">he studies included in this package do not represent the full capabilities of the store. There are many store features that we did not test as part of this </w:t>
      </w:r>
      <w:r w:rsidR="00D0632A" w:rsidRPr="00895CD2">
        <w:t>package (</w:t>
      </w:r>
      <w:r w:rsidR="00A4446C" w:rsidRPr="00895CD2">
        <w:t xml:space="preserve">see </w:t>
      </w:r>
      <w:r w:rsidR="00D0632A" w:rsidRPr="00895CD2">
        <w:t xml:space="preserve">Table </w:t>
      </w:r>
      <w:r w:rsidR="00087995" w:rsidRPr="00895CD2">
        <w:t>1</w:t>
      </w:r>
      <w:r w:rsidR="00D0632A" w:rsidRPr="00895CD2">
        <w:t>).</w:t>
      </w:r>
      <w:r w:rsidR="00D0632A">
        <w:t xml:space="preserve"> Furthermore, there are many other ways of using the </w:t>
      </w:r>
      <w:r w:rsidR="00A4446C">
        <w:t xml:space="preserve">OSOG </w:t>
      </w:r>
      <w:r w:rsidR="00D0632A">
        <w:t xml:space="preserve">that </w:t>
      </w:r>
      <w:r w:rsidR="00A4446C">
        <w:t xml:space="preserve">do not necessarily rely on changes to </w:t>
      </w:r>
      <w:r w:rsidR="000B0298">
        <w:t>the choice context</w:t>
      </w:r>
      <w:r w:rsidR="00D0632A">
        <w:t>.</w:t>
      </w:r>
      <w:r w:rsidR="00C00897">
        <w:t xml:space="preserve"> </w:t>
      </w:r>
      <w:r w:rsidR="00D0632A">
        <w:t xml:space="preserve">For example, researchers have used the store as a pre- post-intervention measure of behavioral flexibility in food choice in adolescents with anorexia nervosa and their parents </w:t>
      </w:r>
      <w:r w:rsidR="00D0632A">
        <w:fldChar w:fldCharType="begin" w:fldLock="1"/>
      </w:r>
      <w:r w:rsidR="000630D1">
        <w:instrText>ADDIN CSL_CITATION {"citationItems":[{"id":"ITEM-1","itemData":{"DOI":"10.1016/j.cct.2021.106313","ISSN":"15517144","abstract":"Background\nAdolescents with anorexia nervosa have set-shifting inefficiencies that can be exacerbated by starvation and that may interfere with outcomes of treatment interventions. Cognitive Remediation Therapy (CRT), an adjunctive treatment focused on improving set-shifting, can target inefficiencies and may augment treatment effectiveness. The best way to add CRT to the standard of care (Family Based Treatment, FBT) for adolescents with anorexia remains understudied.\nMethods/design\nThis is a randomized controlled trial designed to determine if CRT is effective in increasing flexibility in adolescents with anorexia and/or their parents. Participants are adolescents 12–18 years old with anorexia and their parents. 54 family groups will be randomized into one of three groups: FBT only, FBT plus Parent-focused CRT, or FBT plus Adolescent-focused CRT. Psychosocial, neurocognitive, and behavioral measures will be collected throughout the study.\nDiscussion\nThis is the first study of its kind to apply CRT to parents. All forms of CRT in the context of anorexia have targeted the individual with anorexia's thinking style. We propose that it may be impactful to target the parent of the adolescent with anorexia as parents carry the burden of treatment and re-nourishment of their child during FBT and may have similar thinking styles.\nConclusion\nThis study takes an experimental therapeutics approach to further our understanding of the mechanisms of treatment for adolescents with anorexia. It focuses on increasing cognitive flexibility in patients or their parents and determining the appropriate dose of CRT needed to achieve positive change.\nTrial registration\nClinicalTrails.gov Identifier NCT03928028","author":[{"dropping-particle":"","family":"Timko","given":"C. Alix","non-dropping-particle":"","parse-names":false,"suffix":""},{"dropping-particle":"","family":"Bhattacharya","given":"Anushua","non-dropping-particle":"","parse-names":false,"suffix":""},{"dropping-particle":"","family":"Fitzpatrick","given":"Kathleen Kara","non-dropping-particle":"","parse-names":false,"suffix":""},{"dropping-particle":"","family":"Howe","given":"Holly","non-dropping-particle":"","parse-names":false,"suffix":""},{"dropping-particle":"","family":"Rodriguez","given":"Daniel","non-dropping-particle":"","parse-names":false,"suffix":""},{"dropping-particle":"","family":"Mears","given":"Connor","non-dropping-particle":"","parse-names":false,"suffix":""},{"dropping-particle":"","family":"Heckert","given":"Kerri","non-dropping-particle":"","parse-names":false,"suffix":""},{"dropping-particle":"","family":"Ubel","given":"Peter A.","non-dropping-particle":"","parse-names":false,"suffix":""},{"dropping-particle":"","family":"Ehrenreich-May","given":"Jill","non-dropping-particle":"","parse-names":false,"suffix":""},{"dropping-particle":"","family":"Peebles","given":"Rebecka","non-dropping-particle":"","parse-names":false,"suffix":""}],"container-title":"Contemporary Clinical Trials","id":"ITEM-1","issue":"January","issued":{"date-parts":[["2021"]]},"page":"106313","publisher":"Elsevier Inc.","title":"The shifting perspectives study protocol: Cognitive remediation therapy as an adjunctive treatment to family based treatment for adolescents with anorexia nervosa","type":"article-journal","volume":"103"},"uris":["http://www.mendeley.com/documents/?uuid=cd8f6df3-9e8a-41a0-a721-c4e821de9636"]}],"mendeley":{"formattedCitation":"(Timko et al. 2021)","plainTextFormattedCitation":"(Timko et al. 2021)","previouslyFormattedCitation":"(Timko et al. 2021)"},"properties":{"noteIndex":0},"schema":"https://github.com/citation-style-language/schema/raw/master/csl-citation.json"}</w:instrText>
      </w:r>
      <w:r w:rsidR="00D0632A">
        <w:fldChar w:fldCharType="separate"/>
      </w:r>
      <w:r w:rsidR="000630D1" w:rsidRPr="000630D1">
        <w:rPr>
          <w:noProof/>
        </w:rPr>
        <w:t>(Timko et al. 2021)</w:t>
      </w:r>
      <w:r w:rsidR="00D0632A">
        <w:fldChar w:fldCharType="end"/>
      </w:r>
      <w:r w:rsidR="00D0632A">
        <w:t xml:space="preserve">. </w:t>
      </w:r>
    </w:p>
    <w:p w14:paraId="4EA45049" w14:textId="3965A30C" w:rsidR="002059FF" w:rsidRDefault="00FA6258" w:rsidP="002059FF">
      <w:pPr>
        <w:spacing w:line="480" w:lineRule="auto"/>
        <w:ind w:firstLine="720"/>
      </w:pPr>
      <w:r>
        <w:t>Furthermore, c</w:t>
      </w:r>
      <w:r w:rsidR="00D0632A">
        <w:t xml:space="preserve">onsumer behavior researchers </w:t>
      </w:r>
      <w:r w:rsidR="00C00897">
        <w:t xml:space="preserve">can use the store to study research questions unrelated to health behavior. For example, one group of researchers </w:t>
      </w:r>
      <w:r w:rsidR="00D0632A">
        <w:t xml:space="preserve">are using the store to mimic a consumer-brand interaction and assess downstream consequences for </w:t>
      </w:r>
      <w:r w:rsidR="00A4446C">
        <w:t>brand connection and brand community</w:t>
      </w:r>
      <w:r w:rsidR="00D0632A">
        <w:t xml:space="preserve"> (Rifkin, </w:t>
      </w:r>
      <w:proofErr w:type="spellStart"/>
      <w:r w:rsidR="00D0632A">
        <w:t>Valsesia</w:t>
      </w:r>
      <w:proofErr w:type="spellEnd"/>
      <w:r w:rsidR="00D0632A">
        <w:t xml:space="preserve">, </w:t>
      </w:r>
      <w:r w:rsidR="000630D1">
        <w:t xml:space="preserve">&amp; </w:t>
      </w:r>
      <w:proofErr w:type="spellStart"/>
      <w:r w:rsidR="00D0632A">
        <w:t>Cutright</w:t>
      </w:r>
      <w:proofErr w:type="spellEnd"/>
      <w:r w:rsidR="00D0632A">
        <w:t>, personal communication).</w:t>
      </w:r>
      <w:r w:rsidR="00C00897">
        <w:t xml:space="preserve"> A second group of researchers is using the store to study a variety of recommendation algorithms (Xu</w:t>
      </w:r>
      <w:r w:rsidR="00937E51">
        <w:t>, Deng</w:t>
      </w:r>
      <w:r w:rsidR="003A022A">
        <w:t xml:space="preserve"> &amp;</w:t>
      </w:r>
      <w:r w:rsidR="00C00897">
        <w:t xml:space="preserve"> Mela, personal communication)</w:t>
      </w:r>
      <w:r w:rsidR="002059FF">
        <w:t xml:space="preserve">. Because researchers can be certain where items appeared on the </w:t>
      </w:r>
      <w:r w:rsidR="002059FF">
        <w:lastRenderedPageBreak/>
        <w:t xml:space="preserve">screen, the store also lends itself to eye-tracking studies. When combined with an eye-tracker, OSOG may provide valuable insights into how consumers seek and engage with product information. </w:t>
      </w:r>
    </w:p>
    <w:p w14:paraId="47835F36" w14:textId="734AFAEA" w:rsidR="001257C8" w:rsidRDefault="002059FF" w:rsidP="00B20C1A">
      <w:pPr>
        <w:spacing w:line="480" w:lineRule="auto"/>
        <w:ind w:firstLine="720"/>
      </w:pPr>
      <w:r>
        <w:t xml:space="preserve">As the capabilities of the store improve over time, it may become possible to use the tool to study consumer reactions to price changes or promotions, packaging changes, or stock-outs. </w:t>
      </w:r>
      <w:r w:rsidR="001257C8">
        <w:t xml:space="preserve">We encourage readers to be creative with the store and to contact the first author if they have questions about store capabilities. </w:t>
      </w:r>
    </w:p>
    <w:p w14:paraId="1335F3E2" w14:textId="15D4AA5A" w:rsidR="000919D4" w:rsidRDefault="000919D4" w:rsidP="00262F28">
      <w:pPr>
        <w:sectPr w:rsidR="000919D4" w:rsidSect="00262F28">
          <w:pgSz w:w="12240" w:h="15840"/>
          <w:pgMar w:top="1440" w:right="1440" w:bottom="1440" w:left="1440" w:header="720" w:footer="720" w:gutter="0"/>
          <w:cols w:space="720"/>
          <w:docGrid w:linePitch="360"/>
        </w:sectPr>
      </w:pPr>
    </w:p>
    <w:p w14:paraId="2ECE4518" w14:textId="77777777" w:rsidR="00262F28" w:rsidRDefault="00262F28" w:rsidP="00262F28">
      <w:pPr>
        <w:spacing w:line="480" w:lineRule="auto"/>
      </w:pPr>
      <w:r>
        <w:lastRenderedPageBreak/>
        <w:t>References</w:t>
      </w:r>
    </w:p>
    <w:p w14:paraId="6B15D800" w14:textId="38B52D9B" w:rsidR="000462B3" w:rsidRPr="000462B3" w:rsidRDefault="00262F28" w:rsidP="000462B3">
      <w:pPr>
        <w:widowControl w:val="0"/>
        <w:autoSpaceDE w:val="0"/>
        <w:autoSpaceDN w:val="0"/>
        <w:adjustRightInd w:val="0"/>
        <w:spacing w:line="480" w:lineRule="auto"/>
        <w:ind w:left="480" w:hanging="480"/>
        <w:rPr>
          <w:noProof/>
        </w:rPr>
      </w:pPr>
      <w:r>
        <w:fldChar w:fldCharType="begin" w:fldLock="1"/>
      </w:r>
      <w:r>
        <w:instrText xml:space="preserve">ADDIN Mendeley Bibliography CSL_BIBLIOGRAPHY </w:instrText>
      </w:r>
      <w:r>
        <w:fldChar w:fldCharType="separate"/>
      </w:r>
      <w:r w:rsidR="000462B3" w:rsidRPr="000462B3">
        <w:rPr>
          <w:noProof/>
        </w:rPr>
        <w:t xml:space="preserve">Aguiar, Luis and Joel Waldfogel (2021), “Platforms, Power, and Promotion: Evidence from Spotify Playlists,” </w:t>
      </w:r>
      <w:r w:rsidR="000462B3" w:rsidRPr="000462B3">
        <w:rPr>
          <w:i/>
          <w:iCs/>
          <w:noProof/>
        </w:rPr>
        <w:t>Journal of Industrial Economics</w:t>
      </w:r>
      <w:r w:rsidR="000462B3" w:rsidRPr="000462B3">
        <w:rPr>
          <w:noProof/>
        </w:rPr>
        <w:t>.</w:t>
      </w:r>
    </w:p>
    <w:p w14:paraId="400C6240"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Anesbury, Zachary, Magda Nenycz-Thiel, John Daews, and Rachel Kennedy (2016), “How Do Shoppers Behave Online? An Observational Study of Online Grocery Shopping,” </w:t>
      </w:r>
      <w:r w:rsidRPr="000462B3">
        <w:rPr>
          <w:i/>
          <w:iCs/>
          <w:noProof/>
        </w:rPr>
        <w:t>Journal of Consumer Behaviour</w:t>
      </w:r>
      <w:r w:rsidRPr="000462B3">
        <w:rPr>
          <w:noProof/>
        </w:rPr>
        <w:t>, 15(3), 261–70.</w:t>
      </w:r>
    </w:p>
    <w:p w14:paraId="3621FA9B"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Bettman, James R, Mary Frances Luce, and John W Payne (1998), “Constructive Consumer Choice Processes,” </w:t>
      </w:r>
      <w:r w:rsidRPr="000462B3">
        <w:rPr>
          <w:i/>
          <w:iCs/>
          <w:noProof/>
        </w:rPr>
        <w:t>Journal of Consumer Research</w:t>
      </w:r>
      <w:r w:rsidRPr="000462B3">
        <w:rPr>
          <w:noProof/>
        </w:rPr>
        <w:t>, 25(3), 187–217, https://academic.oup.com/jcr/article-lookup/doi/10.1086/209535.</w:t>
      </w:r>
    </w:p>
    <w:p w14:paraId="5097DF7A"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Boatwright, Peter and Joseph C. Nunes (2001), “Reducing Assortment: An Attribute-Based Approach,” </w:t>
      </w:r>
      <w:r w:rsidRPr="000462B3">
        <w:rPr>
          <w:i/>
          <w:iCs/>
          <w:noProof/>
        </w:rPr>
        <w:t>Journal of Marketing</w:t>
      </w:r>
      <w:r w:rsidRPr="000462B3">
        <w:rPr>
          <w:noProof/>
        </w:rPr>
        <w:t>, 65(3), 50–63.</w:t>
      </w:r>
    </w:p>
    <w:p w14:paraId="6D653CFC"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Bucher, Tamara, Clare Collins, Megan E. Rollo, Tracy A. McCaffrey, Nienke De Vlieger, Daphne Van Der Bend, Helen Truby, and Federico J.A. Perez-Cueto (2016), “Nudging Consumers towards Healthier Choices: A Systematic Review of Positional Influences on Food Choice,” </w:t>
      </w:r>
      <w:r w:rsidRPr="000462B3">
        <w:rPr>
          <w:i/>
          <w:iCs/>
          <w:noProof/>
        </w:rPr>
        <w:t>British Journal of Nutrition</w:t>
      </w:r>
      <w:r w:rsidRPr="000462B3">
        <w:rPr>
          <w:noProof/>
        </w:rPr>
        <w:t>, 115(12), 2252–63.</w:t>
      </w:r>
    </w:p>
    <w:p w14:paraId="5FE17E70"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Cadario, Romain and Pierre Chandon (2020), “Which Healthy Eating Nudges Work Best? A Meta-Analysis of Field Experiments,” </w:t>
      </w:r>
      <w:r w:rsidRPr="000462B3">
        <w:rPr>
          <w:i/>
          <w:iCs/>
          <w:noProof/>
        </w:rPr>
        <w:t>Marketing Science</w:t>
      </w:r>
      <w:r w:rsidRPr="000462B3">
        <w:rPr>
          <w:noProof/>
        </w:rPr>
        <w:t>, 39(3), 465–86.</w:t>
      </w:r>
    </w:p>
    <w:p w14:paraId="68BC884B"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Cai, Shun and Yunjie Xu (2008), “Designing Product Lists for E-Commerce: The Effects of Sorting on Consumer Decision Making,” </w:t>
      </w:r>
      <w:r w:rsidRPr="000462B3">
        <w:rPr>
          <w:i/>
          <w:iCs/>
          <w:noProof/>
        </w:rPr>
        <w:t>International Journal of Human-Computer Interaction</w:t>
      </w:r>
      <w:r w:rsidRPr="000462B3">
        <w:rPr>
          <w:noProof/>
        </w:rPr>
        <w:t>, 24(7), 700–721.</w:t>
      </w:r>
    </w:p>
    <w:p w14:paraId="23C59DE2"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Crockett, Rachel A., Sarah E. King, Theresa M. Marteau, A. T. Prevost, Giacomo Bignardi, Nia W. Roberts, Brendon Stubbs, Gareth J. Hollands, and Susan A. Jebb (2018), “Nutritional Labelling for Healthier Food or Non-Alcoholic Drink Purchasing and Consumption,” </w:t>
      </w:r>
      <w:r w:rsidRPr="000462B3">
        <w:rPr>
          <w:i/>
          <w:iCs/>
          <w:noProof/>
        </w:rPr>
        <w:lastRenderedPageBreak/>
        <w:t>Cochrane Database of Systematic Reviews</w:t>
      </w:r>
      <w:r w:rsidRPr="000462B3">
        <w:rPr>
          <w:noProof/>
        </w:rPr>
        <w:t>, 2018(2).</w:t>
      </w:r>
    </w:p>
    <w:p w14:paraId="6F46AB82"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Croker, H., J. Packer, Simon J. Russell, C. Stansfield, and R. M. Viner (2020), “Front of Pack Nutritional Labelling Schemes: A Systematic Review and Meta-Analysis of Recent Evidence Relating to Objectively Measured Consumption and Purchasing,” </w:t>
      </w:r>
      <w:r w:rsidRPr="000462B3">
        <w:rPr>
          <w:i/>
          <w:iCs/>
          <w:noProof/>
        </w:rPr>
        <w:t>Journal of Human Nutrition and Dietetics</w:t>
      </w:r>
      <w:r w:rsidRPr="000462B3">
        <w:rPr>
          <w:noProof/>
        </w:rPr>
        <w:t>, 33(4), 518–37.</w:t>
      </w:r>
    </w:p>
    <w:p w14:paraId="052E9437"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Dubois, Pierre, Paulo Albuquerque, Olivier Allais, Céline Bonnet, Patrice Bertail, Pierre Combris, Saadi Lahlou, Natalie Rigal, Bernard Ruffieux, and Pierre Chandon (2021), “Effects of Front-of-Pack Labels on the Nutritional Quality of Supermarket Food Purchases: Evidence from a Large-Scale Randomized Controlled Trial,” </w:t>
      </w:r>
      <w:r w:rsidRPr="000462B3">
        <w:rPr>
          <w:i/>
          <w:iCs/>
          <w:noProof/>
        </w:rPr>
        <w:t>Journal of the Academy of Marketing Science</w:t>
      </w:r>
      <w:r w:rsidRPr="000462B3">
        <w:rPr>
          <w:noProof/>
        </w:rPr>
        <w:t>, 49(1), 119–38.</w:t>
      </w:r>
    </w:p>
    <w:p w14:paraId="66F8AA5D"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Finkelstein, Eric A (2020), “NUMSmart: An Experimental Online Grocery Store to Promote Healthier Shopping,” https://nusmartbulletin.wordpress.com/publications/.</w:t>
      </w:r>
    </w:p>
    <w:p w14:paraId="6CACAE50"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Finkelstein, Eric Andrew, Felicia Jia Ler Ang, and Brett Doble (2020), “Randomized Trial Evaluating the Effectiveness of within versus Across-Category Front-of-Package Lower-Calorie Labelling on Food Demand,” </w:t>
      </w:r>
      <w:r w:rsidRPr="000462B3">
        <w:rPr>
          <w:i/>
          <w:iCs/>
          <w:noProof/>
        </w:rPr>
        <w:t>BMC Public Health</w:t>
      </w:r>
      <w:r w:rsidRPr="000462B3">
        <w:rPr>
          <w:noProof/>
        </w:rPr>
        <w:t>, 20(312), 1–10.</w:t>
      </w:r>
    </w:p>
    <w:p w14:paraId="37A82EEB"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Guiding Stars Licensing Company (2012), </w:t>
      </w:r>
      <w:r w:rsidRPr="000462B3">
        <w:rPr>
          <w:i/>
          <w:iCs/>
          <w:noProof/>
        </w:rPr>
        <w:t>Understanding the Science behind the Guiding Stars® Algorithm for Canada</w:t>
      </w:r>
      <w:r w:rsidRPr="000462B3">
        <w:rPr>
          <w:noProof/>
        </w:rPr>
        <w:t>, 2652379, Canada, https://guidingstars.ca/about/how-it-works/our-algorithm/.</w:t>
      </w:r>
    </w:p>
    <w:p w14:paraId="4A1CD0F3"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Harrington, Richard Andrew, Vyas Adhikari, Mike Rayner, and Peter Scarborough (2019), “Nutrient Composition Databases in the Age of Big Data: FoodDB, a Comprehensive, Real-Time Database Infrastructure,” </w:t>
      </w:r>
      <w:r w:rsidRPr="000462B3">
        <w:rPr>
          <w:i/>
          <w:iCs/>
          <w:noProof/>
        </w:rPr>
        <w:t>BMJ Open</w:t>
      </w:r>
      <w:r w:rsidRPr="000462B3">
        <w:rPr>
          <w:noProof/>
        </w:rPr>
        <w:t>, 9(6), 1–10.</w:t>
      </w:r>
    </w:p>
    <w:p w14:paraId="4E88E37A"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Hawley, Kristy L., Christina A. Roberto, Marie A. Bragg, Peggy J Liu, Marlene B. Schwartz, and Kelly D. Brownell (2013), “The Science on Front-of-Package Food Labels,” </w:t>
      </w:r>
      <w:r w:rsidRPr="000462B3">
        <w:rPr>
          <w:i/>
          <w:iCs/>
          <w:noProof/>
        </w:rPr>
        <w:t xml:space="preserve">Public </w:t>
      </w:r>
      <w:r w:rsidRPr="000462B3">
        <w:rPr>
          <w:i/>
          <w:iCs/>
          <w:noProof/>
        </w:rPr>
        <w:lastRenderedPageBreak/>
        <w:t>Health Nutrition</w:t>
      </w:r>
      <w:r w:rsidRPr="000462B3">
        <w:rPr>
          <w:noProof/>
        </w:rPr>
        <w:t>, 16(3), 430–39.</w:t>
      </w:r>
    </w:p>
    <w:p w14:paraId="748B9A0E"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Hee Lee-Kwan, Seung, Latetia V Moore, Heidi M Blanck, Diane M Harris, and Deb Galuska (2017), “Disparities in State-Specific Adult Fruit and Vegetable Consumption — United States, 2015,” </w:t>
      </w:r>
      <w:r w:rsidRPr="000462B3">
        <w:rPr>
          <w:i/>
          <w:iCs/>
          <w:noProof/>
        </w:rPr>
        <w:t>CDC Morbidity and Mortality Weekly Report</w:t>
      </w:r>
      <w:r w:rsidRPr="000462B3">
        <w:rPr>
          <w:noProof/>
        </w:rPr>
        <w:t>, https://www.cdc.gov/mmwr/cme/conted_info.html#weekly.</w:t>
      </w:r>
    </w:p>
    <w:p w14:paraId="2AA20A04"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Hoenink, Jody C., Joreintje D. Mackenbach, Wilma Waterlander, Jeroen Lakerveld, Nynke Van Der Laan, and Joline W.J. Beulens (2020), “The Effects of Nudging and Pricing on Healthy Food Purchasing Behavior in a Virtual Supermarket Setting: A Randomized Experiment,” </w:t>
      </w:r>
      <w:r w:rsidRPr="000462B3">
        <w:rPr>
          <w:i/>
          <w:iCs/>
          <w:noProof/>
        </w:rPr>
        <w:t>International Journal of Behavioral Nutrition and Physical Activity</w:t>
      </w:r>
      <w:r w:rsidRPr="000462B3">
        <w:rPr>
          <w:noProof/>
        </w:rPr>
        <w:t>, 17(1), 1–12.</w:t>
      </w:r>
    </w:p>
    <w:p w14:paraId="256709E8"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Inmar Intelligence (2020), “A Surge in Online Grocery Shopping,” </w:t>
      </w:r>
      <w:r w:rsidRPr="000462B3">
        <w:rPr>
          <w:i/>
          <w:iCs/>
          <w:noProof/>
        </w:rPr>
        <w:t>Thought Leadership Blog</w:t>
      </w:r>
      <w:r w:rsidRPr="000462B3">
        <w:rPr>
          <w:noProof/>
        </w:rPr>
        <w:t>, https://www.inmar.com/blog/thought-leadership/surge-online-grocery-shopping.</w:t>
      </w:r>
    </w:p>
    <w:p w14:paraId="7CF3C392"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Iyengar, Sheena S. and Mark R. Lepper (2000), “When Choice Is Demotivating: Can One Desire Too Much of a Good Thing?,” </w:t>
      </w:r>
      <w:r w:rsidRPr="000462B3">
        <w:rPr>
          <w:i/>
          <w:iCs/>
          <w:noProof/>
        </w:rPr>
        <w:t>Journal of Personality and Social Psychology</w:t>
      </w:r>
      <w:r w:rsidRPr="000462B3">
        <w:rPr>
          <w:noProof/>
        </w:rPr>
        <w:t>, 79(6), 995–1006.</w:t>
      </w:r>
    </w:p>
    <w:p w14:paraId="2EA2C462"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John, Leslie K, Grant E Donnelly, and Christina A Roberto (2017), “Psychologically Informed Implementations of Sugary-Drink Portion Limits.,” </w:t>
      </w:r>
      <w:r w:rsidRPr="000462B3">
        <w:rPr>
          <w:i/>
          <w:iCs/>
          <w:noProof/>
        </w:rPr>
        <w:t>Psychological Science</w:t>
      </w:r>
      <w:r w:rsidRPr="000462B3">
        <w:rPr>
          <w:noProof/>
        </w:rPr>
        <w:t>, 28(5), 620–29.</w:t>
      </w:r>
    </w:p>
    <w:p w14:paraId="35549F52"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Murphy, Jamie, Charles Hofacker, and Richard Mizerski (2006), “Primacy and Recency Effects on Clicking Behavior,” </w:t>
      </w:r>
      <w:r w:rsidRPr="000462B3">
        <w:rPr>
          <w:i/>
          <w:iCs/>
          <w:noProof/>
        </w:rPr>
        <w:t>Journal of Computer-Mediated Communication</w:t>
      </w:r>
      <w:r w:rsidRPr="000462B3">
        <w:rPr>
          <w:noProof/>
        </w:rPr>
        <w:t>, 11(2), 522–35.</w:t>
      </w:r>
    </w:p>
    <w:p w14:paraId="0A70DDB7"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Parker, Jeffrey R. and Donald R. Lehmann (2014), “How and When Grouping Low-Calorie Options Reduces the Benefits of Providing Dish-Specific Calorie Information,” </w:t>
      </w:r>
      <w:r w:rsidRPr="000462B3">
        <w:rPr>
          <w:i/>
          <w:iCs/>
          <w:noProof/>
        </w:rPr>
        <w:t>Journal of Consumer Research</w:t>
      </w:r>
      <w:r w:rsidRPr="000462B3">
        <w:rPr>
          <w:noProof/>
        </w:rPr>
        <w:t>, 41(1), 213–35.</w:t>
      </w:r>
    </w:p>
    <w:p w14:paraId="26F66F8D"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Sacks, Gary, Kim Tikellis, Lynne Millar, and Boyd Swinburn (2011), “Impact of ‘Traffic-Light’ Nutrition Information on Online Food Purchases in Australia,” </w:t>
      </w:r>
      <w:r w:rsidRPr="000462B3">
        <w:rPr>
          <w:i/>
          <w:iCs/>
          <w:noProof/>
        </w:rPr>
        <w:t xml:space="preserve">Australian and New Zealand </w:t>
      </w:r>
      <w:r w:rsidRPr="000462B3">
        <w:rPr>
          <w:i/>
          <w:iCs/>
          <w:noProof/>
        </w:rPr>
        <w:lastRenderedPageBreak/>
        <w:t>Journal of Public Health</w:t>
      </w:r>
      <w:r w:rsidRPr="000462B3">
        <w:rPr>
          <w:noProof/>
        </w:rPr>
        <w:t>, 35(2), 122–26.</w:t>
      </w:r>
    </w:p>
    <w:p w14:paraId="5722454B"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Shah, Avni M., James R Bettman, Peter A. Ubel, Punam Anand Keller, and Julie A. Edell (2014), “Surcharges plus Unhealthy Labels Reduce Demand for Unhealthy Menu Items,” </w:t>
      </w:r>
      <w:r w:rsidRPr="000462B3">
        <w:rPr>
          <w:i/>
          <w:iCs/>
          <w:noProof/>
        </w:rPr>
        <w:t>Journal of Marketing Research</w:t>
      </w:r>
      <w:r w:rsidRPr="000462B3">
        <w:rPr>
          <w:noProof/>
        </w:rPr>
        <w:t>, 51(6), 773–89.</w:t>
      </w:r>
    </w:p>
    <w:p w14:paraId="58C93C9D"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Shin, Soye, Rob M. van Dam, and Eric A. Finkelstein (2020), “The Effect of Dynamic Food Labels with Real-Time Feedback on Diet Quality: Results from a Randomized Controlled Trial,” </w:t>
      </w:r>
      <w:r w:rsidRPr="000462B3">
        <w:rPr>
          <w:i/>
          <w:iCs/>
          <w:noProof/>
        </w:rPr>
        <w:t>Nutrients</w:t>
      </w:r>
      <w:r w:rsidRPr="000462B3">
        <w:rPr>
          <w:noProof/>
        </w:rPr>
        <w:t>, 12(7), 1–16.</w:t>
      </w:r>
    </w:p>
    <w:p w14:paraId="3B27423B"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Tam, Kar Yan and Shuk Ying Ho (2005), “Web Personalization as a Persuasion Strategy: An Elaboration Likelihood Model Perspective,” </w:t>
      </w:r>
      <w:r w:rsidRPr="000462B3">
        <w:rPr>
          <w:i/>
          <w:iCs/>
          <w:noProof/>
        </w:rPr>
        <w:t>Information Systems Research</w:t>
      </w:r>
      <w:r w:rsidRPr="000462B3">
        <w:rPr>
          <w:noProof/>
        </w:rPr>
        <w:t>, 16(3), 271–91.</w:t>
      </w:r>
    </w:p>
    <w:p w14:paraId="6C249A30"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Timko, C. Alix, Anushua Bhattacharya, Kathleen Kara Fitzpatrick, Holly Howe, Daniel Rodriguez, Connor Mears, Kerri Heckert, Peter A. Ubel, Jill Ehrenreich-May, and Rebecka Peebles (2021), “The Shifting Perspectives Study Protocol: Cognitive Remediation Therapy as an Adjunctive Treatment to Family Based Treatment for Adolescents with Anorexia Nervosa,” </w:t>
      </w:r>
      <w:r w:rsidRPr="000462B3">
        <w:rPr>
          <w:i/>
          <w:iCs/>
          <w:noProof/>
        </w:rPr>
        <w:t>Contemporary Clinical Trials</w:t>
      </w:r>
      <w:r w:rsidRPr="000462B3">
        <w:rPr>
          <w:noProof/>
        </w:rPr>
        <w:t>, 103(January), 106313.</w:t>
      </w:r>
    </w:p>
    <w:p w14:paraId="533C0B96"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VanEpps, Eric M., Julie S. Downs, and George Loewenstein (2016), “Advance Ordering for Healthier Eating? Field Experiments on the Relationship Between the Meal Order–Consumption Time Delay and Meal Content,” </w:t>
      </w:r>
      <w:r w:rsidRPr="000462B3">
        <w:rPr>
          <w:i/>
          <w:iCs/>
          <w:noProof/>
        </w:rPr>
        <w:t>Journal of Marketing Research</w:t>
      </w:r>
      <w:r w:rsidRPr="000462B3">
        <w:rPr>
          <w:noProof/>
        </w:rPr>
        <w:t>, 53(3), 369–80, http://journals.ama.org/doi/10.1509/jmr.14.0234.</w:t>
      </w:r>
    </w:p>
    <w:p w14:paraId="419565EA"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Waterlander, Wilma E., Michael Scarpa, Daisy Lentz, and Ingrid H.M. Steenhuis (2011), “The Virtual Supermarket: An Innovative Research Tool to Study Consumer Food Purchasing Behaviour,” </w:t>
      </w:r>
      <w:r w:rsidRPr="000462B3">
        <w:rPr>
          <w:i/>
          <w:iCs/>
          <w:noProof/>
        </w:rPr>
        <w:t>BMC Public Health</w:t>
      </w:r>
      <w:r w:rsidRPr="000462B3">
        <w:rPr>
          <w:noProof/>
        </w:rPr>
        <w:t>, 11(1), 1–10.</w:t>
      </w:r>
    </w:p>
    <w:p w14:paraId="1B73957B" w14:textId="77777777" w:rsidR="000462B3" w:rsidRPr="000462B3" w:rsidRDefault="000462B3" w:rsidP="000462B3">
      <w:pPr>
        <w:widowControl w:val="0"/>
        <w:autoSpaceDE w:val="0"/>
        <w:autoSpaceDN w:val="0"/>
        <w:adjustRightInd w:val="0"/>
        <w:spacing w:line="480" w:lineRule="auto"/>
        <w:ind w:left="480" w:hanging="480"/>
        <w:rPr>
          <w:noProof/>
        </w:rPr>
      </w:pPr>
      <w:r w:rsidRPr="000462B3">
        <w:rPr>
          <w:noProof/>
        </w:rPr>
        <w:t xml:space="preserve">Xu, Yunjie (Calvin) and Hee Woong Kim (2008), “Order Effect and Vendor Inspection in Online Comparison Shopping,” </w:t>
      </w:r>
      <w:r w:rsidRPr="000462B3">
        <w:rPr>
          <w:i/>
          <w:iCs/>
          <w:noProof/>
        </w:rPr>
        <w:t>Journal of Retailing</w:t>
      </w:r>
      <w:r w:rsidRPr="000462B3">
        <w:rPr>
          <w:noProof/>
        </w:rPr>
        <w:t>, 84(4), 477–86.</w:t>
      </w:r>
    </w:p>
    <w:p w14:paraId="03BB4D8A" w14:textId="5A9D6FD2" w:rsidR="00262F28" w:rsidRDefault="00262F28" w:rsidP="00345619">
      <w:pPr>
        <w:widowControl w:val="0"/>
        <w:autoSpaceDE w:val="0"/>
        <w:autoSpaceDN w:val="0"/>
        <w:adjustRightInd w:val="0"/>
        <w:spacing w:line="480" w:lineRule="auto"/>
      </w:pPr>
      <w:r>
        <w:lastRenderedPageBreak/>
        <w:fldChar w:fldCharType="end"/>
      </w:r>
    </w:p>
    <w:p w14:paraId="11B2DFD2" w14:textId="5479D967" w:rsidR="00D63333" w:rsidRPr="00FA076C" w:rsidRDefault="00D63333" w:rsidP="00262F28"/>
    <w:sectPr w:rsidR="00D63333" w:rsidRPr="00FA076C" w:rsidSect="00262F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6DA"/>
    <w:rsid w:val="00000522"/>
    <w:rsid w:val="000042F6"/>
    <w:rsid w:val="00017780"/>
    <w:rsid w:val="00024E7C"/>
    <w:rsid w:val="00030949"/>
    <w:rsid w:val="00037574"/>
    <w:rsid w:val="000462B3"/>
    <w:rsid w:val="000630D1"/>
    <w:rsid w:val="00063EB2"/>
    <w:rsid w:val="00067675"/>
    <w:rsid w:val="00087995"/>
    <w:rsid w:val="000919D4"/>
    <w:rsid w:val="00094A64"/>
    <w:rsid w:val="00097F30"/>
    <w:rsid w:val="000B0298"/>
    <w:rsid w:val="00106AEA"/>
    <w:rsid w:val="00113257"/>
    <w:rsid w:val="0011715C"/>
    <w:rsid w:val="00124D93"/>
    <w:rsid w:val="001257C8"/>
    <w:rsid w:val="00140BF7"/>
    <w:rsid w:val="0014413D"/>
    <w:rsid w:val="0016095A"/>
    <w:rsid w:val="001611C8"/>
    <w:rsid w:val="0016665B"/>
    <w:rsid w:val="001929A3"/>
    <w:rsid w:val="001957E2"/>
    <w:rsid w:val="001B3990"/>
    <w:rsid w:val="001D4EAD"/>
    <w:rsid w:val="00200613"/>
    <w:rsid w:val="002059FF"/>
    <w:rsid w:val="002176B3"/>
    <w:rsid w:val="002373A9"/>
    <w:rsid w:val="00240175"/>
    <w:rsid w:val="00242A8E"/>
    <w:rsid w:val="002459C4"/>
    <w:rsid w:val="00262F28"/>
    <w:rsid w:val="002B0ADC"/>
    <w:rsid w:val="002F1ABF"/>
    <w:rsid w:val="00345619"/>
    <w:rsid w:val="0035615A"/>
    <w:rsid w:val="003928CB"/>
    <w:rsid w:val="00396AC9"/>
    <w:rsid w:val="003A022A"/>
    <w:rsid w:val="003C30D9"/>
    <w:rsid w:val="003D1442"/>
    <w:rsid w:val="003D73E9"/>
    <w:rsid w:val="003F2565"/>
    <w:rsid w:val="004049C0"/>
    <w:rsid w:val="004134C7"/>
    <w:rsid w:val="00421023"/>
    <w:rsid w:val="00432BBB"/>
    <w:rsid w:val="00436A78"/>
    <w:rsid w:val="00452AC7"/>
    <w:rsid w:val="00462310"/>
    <w:rsid w:val="00483859"/>
    <w:rsid w:val="0049021A"/>
    <w:rsid w:val="00497049"/>
    <w:rsid w:val="004B1FC7"/>
    <w:rsid w:val="004C0094"/>
    <w:rsid w:val="004C0E41"/>
    <w:rsid w:val="004C4715"/>
    <w:rsid w:val="004E4A03"/>
    <w:rsid w:val="00501488"/>
    <w:rsid w:val="005444B2"/>
    <w:rsid w:val="00554F3A"/>
    <w:rsid w:val="00557256"/>
    <w:rsid w:val="00593488"/>
    <w:rsid w:val="00597359"/>
    <w:rsid w:val="005B0DCC"/>
    <w:rsid w:val="005E5E82"/>
    <w:rsid w:val="00600F11"/>
    <w:rsid w:val="00622780"/>
    <w:rsid w:val="00647EE6"/>
    <w:rsid w:val="00661698"/>
    <w:rsid w:val="0066305D"/>
    <w:rsid w:val="00672702"/>
    <w:rsid w:val="0069747D"/>
    <w:rsid w:val="006A342E"/>
    <w:rsid w:val="006B55B7"/>
    <w:rsid w:val="006F3A61"/>
    <w:rsid w:val="00701662"/>
    <w:rsid w:val="00710ED1"/>
    <w:rsid w:val="00761A05"/>
    <w:rsid w:val="00771E02"/>
    <w:rsid w:val="007B5116"/>
    <w:rsid w:val="007C1620"/>
    <w:rsid w:val="007C523A"/>
    <w:rsid w:val="007D14B2"/>
    <w:rsid w:val="007D6433"/>
    <w:rsid w:val="00817E63"/>
    <w:rsid w:val="00860E5A"/>
    <w:rsid w:val="00885081"/>
    <w:rsid w:val="0088709E"/>
    <w:rsid w:val="00894360"/>
    <w:rsid w:val="00895CD2"/>
    <w:rsid w:val="008A3E5E"/>
    <w:rsid w:val="008C2524"/>
    <w:rsid w:val="008C6185"/>
    <w:rsid w:val="008F12F2"/>
    <w:rsid w:val="008F3C6F"/>
    <w:rsid w:val="008F5FD3"/>
    <w:rsid w:val="00912A40"/>
    <w:rsid w:val="00916800"/>
    <w:rsid w:val="009370FB"/>
    <w:rsid w:val="00937E51"/>
    <w:rsid w:val="00941941"/>
    <w:rsid w:val="00946715"/>
    <w:rsid w:val="009608CF"/>
    <w:rsid w:val="00981701"/>
    <w:rsid w:val="00987E68"/>
    <w:rsid w:val="00997EB8"/>
    <w:rsid w:val="009B3A91"/>
    <w:rsid w:val="009B607B"/>
    <w:rsid w:val="009C3376"/>
    <w:rsid w:val="009C3ED8"/>
    <w:rsid w:val="009F3691"/>
    <w:rsid w:val="009F5556"/>
    <w:rsid w:val="009F5AED"/>
    <w:rsid w:val="00A118A6"/>
    <w:rsid w:val="00A20060"/>
    <w:rsid w:val="00A33E6F"/>
    <w:rsid w:val="00A4137F"/>
    <w:rsid w:val="00A4446C"/>
    <w:rsid w:val="00A477AF"/>
    <w:rsid w:val="00A85470"/>
    <w:rsid w:val="00AC2689"/>
    <w:rsid w:val="00AE4C2C"/>
    <w:rsid w:val="00B11D10"/>
    <w:rsid w:val="00B132DE"/>
    <w:rsid w:val="00B20C1A"/>
    <w:rsid w:val="00B36068"/>
    <w:rsid w:val="00B56EF5"/>
    <w:rsid w:val="00B6773C"/>
    <w:rsid w:val="00B830CA"/>
    <w:rsid w:val="00B8719D"/>
    <w:rsid w:val="00B94106"/>
    <w:rsid w:val="00BA7964"/>
    <w:rsid w:val="00BA7A72"/>
    <w:rsid w:val="00BD1606"/>
    <w:rsid w:val="00BE0039"/>
    <w:rsid w:val="00C00897"/>
    <w:rsid w:val="00C1430B"/>
    <w:rsid w:val="00C15DF8"/>
    <w:rsid w:val="00C34B0D"/>
    <w:rsid w:val="00C4340C"/>
    <w:rsid w:val="00C44355"/>
    <w:rsid w:val="00C46CDD"/>
    <w:rsid w:val="00C93D84"/>
    <w:rsid w:val="00C94351"/>
    <w:rsid w:val="00CA13A5"/>
    <w:rsid w:val="00CA66DA"/>
    <w:rsid w:val="00CB09F0"/>
    <w:rsid w:val="00CE7932"/>
    <w:rsid w:val="00D053A0"/>
    <w:rsid w:val="00D0632A"/>
    <w:rsid w:val="00D26125"/>
    <w:rsid w:val="00D30E3F"/>
    <w:rsid w:val="00D4645C"/>
    <w:rsid w:val="00D46D6B"/>
    <w:rsid w:val="00D57AA7"/>
    <w:rsid w:val="00D63333"/>
    <w:rsid w:val="00D71780"/>
    <w:rsid w:val="00D87BE9"/>
    <w:rsid w:val="00DA3D6B"/>
    <w:rsid w:val="00DC1C30"/>
    <w:rsid w:val="00DC2691"/>
    <w:rsid w:val="00DD297E"/>
    <w:rsid w:val="00DF27BB"/>
    <w:rsid w:val="00E067B7"/>
    <w:rsid w:val="00E13149"/>
    <w:rsid w:val="00E226B0"/>
    <w:rsid w:val="00E2462F"/>
    <w:rsid w:val="00E3186A"/>
    <w:rsid w:val="00E37939"/>
    <w:rsid w:val="00E40BA2"/>
    <w:rsid w:val="00E47093"/>
    <w:rsid w:val="00E52648"/>
    <w:rsid w:val="00E53BAD"/>
    <w:rsid w:val="00E9445A"/>
    <w:rsid w:val="00EC33F7"/>
    <w:rsid w:val="00ED5916"/>
    <w:rsid w:val="00ED76A4"/>
    <w:rsid w:val="00EE2771"/>
    <w:rsid w:val="00EE7BCB"/>
    <w:rsid w:val="00F060A4"/>
    <w:rsid w:val="00F27BFC"/>
    <w:rsid w:val="00F57CDD"/>
    <w:rsid w:val="00F64F0C"/>
    <w:rsid w:val="00F809E4"/>
    <w:rsid w:val="00FA076C"/>
    <w:rsid w:val="00FA160C"/>
    <w:rsid w:val="00FA6258"/>
    <w:rsid w:val="00FB2265"/>
    <w:rsid w:val="00FC18AE"/>
    <w:rsid w:val="00FF2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3ED6F"/>
  <w14:defaultImageDpi w14:val="32767"/>
  <w15:chartTrackingRefBased/>
  <w15:docId w15:val="{A96050C9-97F1-E146-84C7-7FDF9C6F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6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6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efaultParagraphFont"/>
    <w:rsid w:val="0035615A"/>
  </w:style>
  <w:style w:type="character" w:styleId="Hyperlink">
    <w:name w:val="Hyperlink"/>
    <w:basedOn w:val="DefaultParagraphFont"/>
    <w:uiPriority w:val="99"/>
    <w:unhideWhenUsed/>
    <w:rsid w:val="00661698"/>
    <w:rPr>
      <w:color w:val="0563C1" w:themeColor="hyperlink"/>
      <w:u w:val="single"/>
    </w:rPr>
  </w:style>
  <w:style w:type="character" w:customStyle="1" w:styleId="UnresolvedMention1">
    <w:name w:val="Unresolved Mention1"/>
    <w:basedOn w:val="DefaultParagraphFont"/>
    <w:uiPriority w:val="99"/>
    <w:rsid w:val="00661698"/>
    <w:rPr>
      <w:color w:val="605E5C"/>
      <w:shd w:val="clear" w:color="auto" w:fill="E1DFDD"/>
    </w:rPr>
  </w:style>
  <w:style w:type="character" w:styleId="CommentReference">
    <w:name w:val="annotation reference"/>
    <w:basedOn w:val="DefaultParagraphFont"/>
    <w:uiPriority w:val="99"/>
    <w:semiHidden/>
    <w:unhideWhenUsed/>
    <w:rsid w:val="00030949"/>
    <w:rPr>
      <w:sz w:val="16"/>
      <w:szCs w:val="16"/>
    </w:rPr>
  </w:style>
  <w:style w:type="paragraph" w:styleId="CommentText">
    <w:name w:val="annotation text"/>
    <w:basedOn w:val="Normal"/>
    <w:link w:val="CommentTextChar"/>
    <w:uiPriority w:val="99"/>
    <w:semiHidden/>
    <w:unhideWhenUsed/>
    <w:rsid w:val="00030949"/>
    <w:rPr>
      <w:sz w:val="20"/>
      <w:szCs w:val="20"/>
    </w:rPr>
  </w:style>
  <w:style w:type="character" w:customStyle="1" w:styleId="CommentTextChar">
    <w:name w:val="Comment Text Char"/>
    <w:basedOn w:val="DefaultParagraphFont"/>
    <w:link w:val="CommentText"/>
    <w:uiPriority w:val="99"/>
    <w:semiHidden/>
    <w:rsid w:val="00030949"/>
    <w:rPr>
      <w:sz w:val="20"/>
      <w:szCs w:val="20"/>
    </w:rPr>
  </w:style>
  <w:style w:type="paragraph" w:styleId="CommentSubject">
    <w:name w:val="annotation subject"/>
    <w:basedOn w:val="CommentText"/>
    <w:next w:val="CommentText"/>
    <w:link w:val="CommentSubjectChar"/>
    <w:uiPriority w:val="99"/>
    <w:semiHidden/>
    <w:unhideWhenUsed/>
    <w:rsid w:val="00030949"/>
    <w:rPr>
      <w:b/>
      <w:bCs/>
    </w:rPr>
  </w:style>
  <w:style w:type="character" w:customStyle="1" w:styleId="CommentSubjectChar">
    <w:name w:val="Comment Subject Char"/>
    <w:basedOn w:val="CommentTextChar"/>
    <w:link w:val="CommentSubject"/>
    <w:uiPriority w:val="99"/>
    <w:semiHidden/>
    <w:rsid w:val="00030949"/>
    <w:rPr>
      <w:b/>
      <w:bCs/>
      <w:sz w:val="20"/>
      <w:szCs w:val="20"/>
    </w:rPr>
  </w:style>
  <w:style w:type="paragraph" w:styleId="Revision">
    <w:name w:val="Revision"/>
    <w:hidden/>
    <w:uiPriority w:val="99"/>
    <w:semiHidden/>
    <w:rsid w:val="0049021A"/>
  </w:style>
  <w:style w:type="paragraph" w:styleId="BalloonText">
    <w:name w:val="Balloon Text"/>
    <w:basedOn w:val="Normal"/>
    <w:link w:val="BalloonTextChar"/>
    <w:uiPriority w:val="99"/>
    <w:semiHidden/>
    <w:unhideWhenUsed/>
    <w:rsid w:val="004C47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715"/>
    <w:rPr>
      <w:rFonts w:ascii="Segoe UI" w:hAnsi="Segoe UI" w:cs="Segoe UI"/>
      <w:sz w:val="18"/>
      <w:szCs w:val="18"/>
    </w:rPr>
  </w:style>
  <w:style w:type="character" w:styleId="FollowedHyperlink">
    <w:name w:val="FollowedHyperlink"/>
    <w:basedOn w:val="DefaultParagraphFont"/>
    <w:uiPriority w:val="99"/>
    <w:semiHidden/>
    <w:unhideWhenUsed/>
    <w:rsid w:val="00761A05"/>
    <w:rPr>
      <w:color w:val="954F72" w:themeColor="followedHyperlink"/>
      <w:u w:val="single"/>
    </w:rPr>
  </w:style>
  <w:style w:type="character" w:styleId="UnresolvedMention">
    <w:name w:val="Unresolved Mention"/>
    <w:basedOn w:val="DefaultParagraphFont"/>
    <w:uiPriority w:val="99"/>
    <w:semiHidden/>
    <w:unhideWhenUsed/>
    <w:rsid w:val="00941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75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iqual.anses.fr/" TargetMode="External"/><Relationship Id="rId12" Type="http://schemas.openxmlformats.org/officeDocument/2006/relationships/hyperlink" Target="https://openscience-onlinegrocery.com/pages/tutorial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orld.openfoodfacts.org" TargetMode="External"/><Relationship Id="rId11" Type="http://schemas.openxmlformats.org/officeDocument/2006/relationships/image" Target="media/image4.png"/><Relationship Id="rId5" Type="http://schemas.openxmlformats.org/officeDocument/2006/relationships/hyperlink" Target="https://openscience-onlinegrocery.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E848A-8006-430B-A864-8819DAED8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28</Pages>
  <Words>22117</Words>
  <Characters>126071</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Howe</dc:creator>
  <cp:keywords/>
  <dc:description/>
  <cp:lastModifiedBy>Holly Howe</cp:lastModifiedBy>
  <cp:revision>7</cp:revision>
  <dcterms:created xsi:type="dcterms:W3CDTF">2021-12-09T18:00:00Z</dcterms:created>
  <dcterms:modified xsi:type="dcterms:W3CDTF">2021-12-09T19:07:00Z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http://www.zotero.org/styles/journal-of-consumer-psychology</vt:lpwstr>
  </property>
  <property fmtid="{D5CDD505-2E9C-101B-9397-08002B2CF9AE}" pid="13" name="Mendeley Recent Style Name 5_1">
    <vt:lpwstr>Journal of Consumer Psychology</vt:lpwstr>
  </property>
  <property fmtid="{D5CDD505-2E9C-101B-9397-08002B2CF9AE}" pid="14" name="Mendeley Recent Style Id 6_1">
    <vt:lpwstr>http://www.zotero.org/styles/journal-of-consumer-research</vt:lpwstr>
  </property>
  <property fmtid="{D5CDD505-2E9C-101B-9397-08002B2CF9AE}" pid="15" name="Mendeley Recent Style Name 6_1">
    <vt:lpwstr>Journal of Consumer Research</vt:lpwstr>
  </property>
  <property fmtid="{D5CDD505-2E9C-101B-9397-08002B2CF9AE}" pid="16" name="Mendeley Recent Style Id 7_1">
    <vt:lpwstr>http://www.zotero.org/styles/journal-of-marketing</vt:lpwstr>
  </property>
  <property fmtid="{D5CDD505-2E9C-101B-9397-08002B2CF9AE}" pid="17" name="Mendeley Recent Style Name 7_1">
    <vt:lpwstr>Journal of Marketing</vt:lpwstr>
  </property>
  <property fmtid="{D5CDD505-2E9C-101B-9397-08002B2CF9AE}" pid="18" name="Mendeley Recent Style Id 8_1">
    <vt:lpwstr>http://www.zotero.org/styles/journal-of-marketing-research</vt:lpwstr>
  </property>
  <property fmtid="{D5CDD505-2E9C-101B-9397-08002B2CF9AE}" pid="19" name="Mendeley Recent Style Name 8_1">
    <vt:lpwstr>Journal of Marketing Research</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d42b0c9e-cd6e-3457-8638-f81cec48dba3</vt:lpwstr>
  </property>
  <property fmtid="{D5CDD505-2E9C-101B-9397-08002B2CF9AE}" pid="24" name="Mendeley Citation Style_1">
    <vt:lpwstr>http://www.zotero.org/styles/journal-of-consumer-research</vt:lpwstr>
  </property>
</Properties>
</file>